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8650" w14:textId="77777777" w:rsidR="00553D11" w:rsidRDefault="00553D11" w:rsidP="00F758E0">
      <w:pPr>
        <w:spacing w:after="0" w:line="240" w:lineRule="auto"/>
        <w:rPr>
          <w:rFonts w:cs="Calibri"/>
          <w:snapToGrid w:val="0"/>
          <w:lang w:eastAsia="ru-RU"/>
        </w:rPr>
      </w:pPr>
      <w:r>
        <w:rPr>
          <w:rFonts w:cs="Calibri"/>
          <w:snapToGrid w:val="0"/>
          <w:lang w:eastAsia="ru-RU"/>
        </w:rPr>
        <w:t>Эта секция содержит все критерии, которые Покупатель будет использовать для оценки предложения и определения квалификации Участников Торгов, в соответствии с ИУТ 34 и ИУТ 36.</w:t>
      </w:r>
    </w:p>
    <w:p w14:paraId="4C75716B" w14:textId="77777777" w:rsidR="00553D11" w:rsidRPr="009A710E" w:rsidRDefault="00553D11" w:rsidP="00F758E0">
      <w:pPr>
        <w:spacing w:after="0" w:line="240" w:lineRule="auto"/>
        <w:rPr>
          <w:rFonts w:cs="Calibri"/>
          <w:snapToGrid w:val="0"/>
          <w:lang w:eastAsia="ru-RU"/>
        </w:rPr>
      </w:pPr>
      <w:r>
        <w:rPr>
          <w:rFonts w:cs="Calibri"/>
          <w:snapToGrid w:val="0"/>
          <w:lang w:eastAsia="ru-RU"/>
        </w:rPr>
        <w:t>Никакие другие факторы, методы и критерии не будут использованы.</w:t>
      </w:r>
    </w:p>
    <w:p w14:paraId="508D0537" w14:textId="77777777" w:rsidR="00553D11" w:rsidRPr="009A710E" w:rsidRDefault="00553D11" w:rsidP="00F758E0">
      <w:pPr>
        <w:spacing w:after="0" w:line="240" w:lineRule="auto"/>
        <w:rPr>
          <w:rFonts w:cs="Calibri"/>
          <w:iCs/>
          <w:snapToGrid w:val="0"/>
        </w:rPr>
      </w:pPr>
    </w:p>
    <w:p w14:paraId="4D0DE5AC" w14:textId="77777777" w:rsidR="00553D11" w:rsidRPr="009A710E" w:rsidRDefault="00553D11" w:rsidP="00F758E0">
      <w:pPr>
        <w:spacing w:before="240" w:after="0" w:line="240" w:lineRule="auto"/>
        <w:jc w:val="center"/>
        <w:rPr>
          <w:rFonts w:cs="Calibri"/>
          <w:b/>
          <w:snapToGrid w:val="0"/>
          <w:lang w:eastAsia="ru-RU"/>
        </w:rPr>
      </w:pPr>
      <w:r w:rsidRPr="008949C2">
        <w:rPr>
          <w:rFonts w:cs="Calibri"/>
          <w:b/>
          <w:snapToGrid w:val="0"/>
          <w:lang w:eastAsia="ru-RU"/>
        </w:rPr>
        <w:t>Содержание</w:t>
      </w:r>
    </w:p>
    <w:p w14:paraId="2930D765" w14:textId="77777777" w:rsidR="00553D11" w:rsidRPr="008949C2" w:rsidRDefault="00553D11" w:rsidP="00F758E0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noProof/>
          <w:lang w:eastAsia="zh-CN"/>
        </w:rPr>
      </w:pPr>
      <w:r w:rsidRPr="008949C2">
        <w:rPr>
          <w:rFonts w:cs="Calibri"/>
          <w:noProof/>
          <w:snapToGrid w:val="0"/>
          <w:lang w:eastAsia="ru-RU"/>
        </w:rPr>
        <w:fldChar w:fldCharType="begin"/>
      </w:r>
      <w:r w:rsidRPr="008949C2">
        <w:rPr>
          <w:rFonts w:cs="Calibri"/>
          <w:noProof/>
          <w:snapToGrid w:val="0"/>
          <w:lang w:eastAsia="ru-RU"/>
        </w:rPr>
        <w:instrText xml:space="preserve"> TOC \h \z \t "Section III Heading 1,1" </w:instrText>
      </w:r>
      <w:r w:rsidRPr="008949C2">
        <w:rPr>
          <w:rFonts w:cs="Calibri"/>
          <w:noProof/>
          <w:snapToGrid w:val="0"/>
          <w:lang w:eastAsia="ru-RU"/>
        </w:rPr>
        <w:fldChar w:fldCharType="separate"/>
      </w:r>
      <w:hyperlink w:anchor="_Toc359587313" w:history="1">
        <w:r w:rsidRPr="008949C2">
          <w:rPr>
            <w:rFonts w:cs="Calibri"/>
            <w:noProof/>
            <w:snapToGrid w:val="0"/>
            <w:color w:val="0000FF"/>
            <w:u w:val="single"/>
            <w:lang w:eastAsia="ru-RU"/>
          </w:rPr>
          <w:t>1. Приоритет отечественных производителей (ИУТ 33)</w:t>
        </w:r>
        <w:r w:rsidRPr="008949C2">
          <w:rPr>
            <w:rFonts w:cs="Calibri"/>
            <w:noProof/>
            <w:snapToGrid w:val="0"/>
            <w:webHidden/>
            <w:lang w:eastAsia="ru-RU"/>
          </w:rPr>
          <w:tab/>
          <w:t>34</w:t>
        </w:r>
      </w:hyperlink>
    </w:p>
    <w:p w14:paraId="51C40459" w14:textId="77777777" w:rsidR="00553D11" w:rsidRPr="008949C2" w:rsidRDefault="00353587" w:rsidP="00F758E0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noProof/>
          <w:lang w:eastAsia="zh-CN"/>
        </w:rPr>
      </w:pPr>
      <w:hyperlink w:anchor="_Toc359587314" w:history="1">
        <w:r w:rsidR="00553D11" w:rsidRPr="008949C2">
          <w:rPr>
            <w:rFonts w:cs="Calibri"/>
            <w:noProof/>
            <w:snapToGrid w:val="0"/>
            <w:color w:val="0000FF"/>
            <w:u w:val="single"/>
            <w:lang w:eastAsia="ru-RU"/>
          </w:rPr>
          <w:t>2. Оценка (ИУТ 34)</w:t>
        </w:r>
        <w:r w:rsidR="00553D11" w:rsidRPr="008949C2">
          <w:rPr>
            <w:rFonts w:cs="Calibri"/>
            <w:noProof/>
            <w:snapToGrid w:val="0"/>
            <w:webHidden/>
            <w:lang w:eastAsia="ru-RU"/>
          </w:rPr>
          <w:tab/>
          <w:t>35</w:t>
        </w:r>
      </w:hyperlink>
    </w:p>
    <w:p w14:paraId="67E7AF2F" w14:textId="77777777" w:rsidR="00553D11" w:rsidRPr="008949C2" w:rsidRDefault="00353587" w:rsidP="00F758E0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 w:cs="Calibri"/>
          <w:noProof/>
          <w:lang w:eastAsia="zh-CN"/>
        </w:rPr>
      </w:pPr>
      <w:hyperlink w:anchor="_Toc359587315" w:history="1">
        <w:r w:rsidR="00553D11" w:rsidRPr="008949C2">
          <w:rPr>
            <w:rFonts w:cs="Calibri"/>
            <w:noProof/>
            <w:snapToGrid w:val="0"/>
            <w:color w:val="0000FF"/>
            <w:u w:val="single"/>
            <w:lang w:eastAsia="ru-RU"/>
          </w:rPr>
          <w:t>3. Квалификация (ИУТ 36)</w:t>
        </w:r>
        <w:r w:rsidR="00553D11" w:rsidRPr="008949C2">
          <w:rPr>
            <w:rFonts w:cs="Calibri"/>
            <w:noProof/>
            <w:snapToGrid w:val="0"/>
            <w:webHidden/>
            <w:lang w:eastAsia="ru-RU"/>
          </w:rPr>
          <w:tab/>
          <w:t>37</w:t>
        </w:r>
      </w:hyperlink>
    </w:p>
    <w:p w14:paraId="3E388AA5" w14:textId="77777777" w:rsidR="00553D11" w:rsidRPr="008949C2" w:rsidRDefault="00553D11" w:rsidP="00F758E0">
      <w:pPr>
        <w:spacing w:after="0" w:line="240" w:lineRule="auto"/>
        <w:rPr>
          <w:rFonts w:cs="Calibri"/>
          <w:b/>
          <w:snapToGrid w:val="0"/>
          <w:lang w:val="en-US" w:eastAsia="ru-RU"/>
        </w:rPr>
      </w:pPr>
      <w:r w:rsidRPr="008949C2">
        <w:rPr>
          <w:rFonts w:cs="Calibri"/>
          <w:noProof/>
          <w:snapToGrid w:val="0"/>
          <w:lang w:eastAsia="ru-RU"/>
        </w:rPr>
        <w:fldChar w:fldCharType="end"/>
      </w:r>
      <w:r w:rsidRPr="008949C2">
        <w:rPr>
          <w:rFonts w:cs="Calibri"/>
          <w:b/>
          <w:snapToGrid w:val="0"/>
          <w:lang w:val="en-US" w:eastAsia="ru-RU"/>
        </w:rPr>
        <w:br w:type="page"/>
      </w:r>
    </w:p>
    <w:p w14:paraId="1A2BBD5A" w14:textId="77777777" w:rsidR="00553D11" w:rsidRPr="008949C2" w:rsidRDefault="00553D11" w:rsidP="00F758E0">
      <w:pPr>
        <w:spacing w:before="120" w:after="0" w:line="240" w:lineRule="auto"/>
        <w:jc w:val="both"/>
        <w:rPr>
          <w:rFonts w:cs="Calibri"/>
          <w:b/>
          <w:snapToGrid w:val="0"/>
          <w:lang w:val="en-US" w:eastAsia="ru-RU"/>
        </w:rPr>
      </w:pPr>
    </w:p>
    <w:p w14:paraId="1B0BDE45" w14:textId="77777777" w:rsidR="00553D11" w:rsidRPr="008949C2" w:rsidRDefault="00553D11" w:rsidP="00F758E0">
      <w:pPr>
        <w:spacing w:before="120" w:after="240" w:line="240" w:lineRule="auto"/>
        <w:rPr>
          <w:rFonts w:cs="Calibri"/>
          <w:b/>
          <w:snapToGrid w:val="0"/>
          <w:lang w:eastAsia="ru-RU"/>
        </w:rPr>
      </w:pPr>
      <w:bookmarkStart w:id="0" w:name="_Toc359587313"/>
      <w:r w:rsidRPr="008949C2">
        <w:rPr>
          <w:rFonts w:cs="Calibri"/>
          <w:b/>
          <w:snapToGrid w:val="0"/>
          <w:lang w:eastAsia="ru-RU"/>
        </w:rPr>
        <w:t>1. Приоритет отечественных производителей (ИУТ 33)</w:t>
      </w:r>
      <w:bookmarkEnd w:id="0"/>
    </w:p>
    <w:p w14:paraId="315AB5DD" w14:textId="77777777" w:rsidR="00553D11" w:rsidRPr="008949C2" w:rsidRDefault="00553D11" w:rsidP="00F758E0">
      <w:pPr>
        <w:suppressAutoHyphens/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Если это оговорено в Информационной карте тендерного предложения, при сравнении предложений Покупатель отдаст предпочтение товарам, произведенным в стране Покупателя, в порядке, описанном ниже.</w:t>
      </w:r>
    </w:p>
    <w:p w14:paraId="7FFFACFB" w14:textId="77777777" w:rsidR="00553D11" w:rsidRPr="008949C2" w:rsidRDefault="00553D11" w:rsidP="00F758E0">
      <w:pPr>
        <w:tabs>
          <w:tab w:val="left" w:pos="540"/>
        </w:tabs>
        <w:suppressAutoHyphens/>
        <w:spacing w:after="200" w:line="240" w:lineRule="auto"/>
        <w:ind w:left="547" w:hanging="547"/>
        <w:jc w:val="both"/>
        <w:rPr>
          <w:rFonts w:cs="Calibri"/>
          <w:i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Тендерные предложения будут поделены на три группы следующим образом:</w:t>
      </w:r>
    </w:p>
    <w:p w14:paraId="0E9C2740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hanging="475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spacing w:val="-4"/>
          <w:lang w:eastAsia="ru-RU"/>
        </w:rPr>
        <w:t>(а)</w:t>
      </w:r>
      <w:r w:rsidRPr="008949C2">
        <w:rPr>
          <w:rFonts w:cs="Calibri"/>
          <w:b/>
          <w:snapToGrid w:val="0"/>
          <w:spacing w:val="-4"/>
          <w:lang w:eastAsia="ru-RU"/>
        </w:rPr>
        <w:tab/>
        <w:t>Группа А:</w:t>
      </w:r>
      <w:r w:rsidRPr="008949C2">
        <w:rPr>
          <w:rFonts w:cs="Calibri"/>
          <w:snapToGrid w:val="0"/>
          <w:spacing w:val="-4"/>
          <w:lang w:eastAsia="ru-RU"/>
        </w:rPr>
        <w:t xml:space="preserve"> предложения произведенных в стране Покупателя товаров, если в заводской цене франко-завод (i) затраты на отечественные труд, сырье и компоненты составляют более 30 (тридцати) процентов; и (</w:t>
      </w:r>
      <w:proofErr w:type="spellStart"/>
      <w:r w:rsidRPr="008949C2">
        <w:rPr>
          <w:rFonts w:cs="Calibri"/>
          <w:snapToGrid w:val="0"/>
          <w:spacing w:val="-4"/>
          <w:lang w:eastAsia="ru-RU"/>
        </w:rPr>
        <w:t>ii</w:t>
      </w:r>
      <w:proofErr w:type="spellEnd"/>
      <w:r w:rsidRPr="008949C2">
        <w:rPr>
          <w:rFonts w:cs="Calibri"/>
          <w:snapToGrid w:val="0"/>
          <w:spacing w:val="-4"/>
          <w:lang w:eastAsia="ru-RU"/>
        </w:rPr>
        <w:t>) производственное предприятие, на котором они производятся или собираются, занимается производством или сборкой таких товаров как минимум с даты подачи предложения.</w:t>
      </w:r>
    </w:p>
    <w:p w14:paraId="179A84B7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hanging="547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(b)</w:t>
      </w:r>
      <w:r w:rsidRPr="008949C2">
        <w:rPr>
          <w:rFonts w:cs="Calibri"/>
          <w:snapToGrid w:val="0"/>
          <w:lang w:eastAsia="ru-RU"/>
        </w:rPr>
        <w:tab/>
      </w:r>
      <w:r w:rsidRPr="008949C2">
        <w:rPr>
          <w:rFonts w:cs="Calibri"/>
          <w:b/>
          <w:snapToGrid w:val="0"/>
          <w:lang w:eastAsia="ru-RU"/>
        </w:rPr>
        <w:t xml:space="preserve">Группа B: </w:t>
      </w:r>
      <w:r w:rsidRPr="008949C2">
        <w:rPr>
          <w:rFonts w:cs="Calibri"/>
          <w:snapToGrid w:val="0"/>
          <w:lang w:eastAsia="ru-RU"/>
        </w:rPr>
        <w:t>все остальные предложения товаров, произведенных в стране Покупателя.</w:t>
      </w:r>
    </w:p>
    <w:p w14:paraId="1DE21861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hanging="547"/>
        <w:jc w:val="both"/>
        <w:rPr>
          <w:rFonts w:cs="Calibri"/>
          <w:i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(c)</w:t>
      </w:r>
      <w:r w:rsidRPr="008949C2">
        <w:rPr>
          <w:rFonts w:cs="Calibri"/>
          <w:snapToGrid w:val="0"/>
          <w:lang w:eastAsia="ru-RU"/>
        </w:rPr>
        <w:tab/>
      </w:r>
      <w:r w:rsidRPr="008949C2">
        <w:rPr>
          <w:rFonts w:cs="Calibri"/>
          <w:b/>
          <w:snapToGrid w:val="0"/>
          <w:lang w:eastAsia="ru-RU"/>
        </w:rPr>
        <w:t xml:space="preserve">Группа С: </w:t>
      </w:r>
      <w:r w:rsidRPr="008949C2">
        <w:rPr>
          <w:rFonts w:cs="Calibri"/>
          <w:snapToGrid w:val="0"/>
          <w:lang w:eastAsia="ru-RU"/>
        </w:rPr>
        <w:t>предложения товаров, произведенных за пределами страны Покупателя, которые уже были или будут ввезены в страну Покупателя.</w:t>
      </w:r>
    </w:p>
    <w:p w14:paraId="05CE080D" w14:textId="77777777" w:rsidR="00553D11" w:rsidRPr="008949C2" w:rsidRDefault="00553D11" w:rsidP="00F758E0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Чтобы облегчить Покупателю такую классификацию, Участник торгов должен заполнить соответствующий вариант Прейскуранта, приведенный в Документации для торгов. Если Участник торгов заполнит не тот вариант Прейскуранта, это не приведет к отклонению предложения, Покупатель просто перенесет его в соответствующую группу.</w:t>
      </w:r>
    </w:p>
    <w:p w14:paraId="4C1780C9" w14:textId="77777777" w:rsidR="00553D11" w:rsidRPr="008949C2" w:rsidRDefault="00553D11" w:rsidP="00F758E0">
      <w:pPr>
        <w:suppressAutoHyphens/>
        <w:spacing w:after="200" w:line="240" w:lineRule="auto"/>
        <w:ind w:right="-72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Сначала Покупатель рассмотрит предложения на соответствие критериям классификации и в случае необходимости поменяет группу, к которой участник торгов отнес свое предложение при подготовке документов для участия в торгах и Прейскурантов.</w:t>
      </w:r>
    </w:p>
    <w:p w14:paraId="3CB48359" w14:textId="77777777" w:rsidR="00553D11" w:rsidRPr="008949C2" w:rsidRDefault="00553D11" w:rsidP="00F758E0">
      <w:pPr>
        <w:suppressAutoHyphens/>
        <w:spacing w:after="200" w:line="240" w:lineRule="auto"/>
        <w:ind w:right="-72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Затем все оцененные предложения каждой группы будут сравниваться для определения оцененного предложения с наименьшей ценой в каждой группе. Оцененные предложения с наименьшими ценами будут сравниваться между собой, и, если в результате такого сравнения наименьшая цена будет у предложения из группы А или группы В, оно будет выбрано для присуждения контракта.</w:t>
      </w:r>
    </w:p>
    <w:p w14:paraId="741FCF7C" w14:textId="77777777" w:rsidR="00553D11" w:rsidRPr="008949C2" w:rsidRDefault="00553D11" w:rsidP="00F758E0">
      <w:pPr>
        <w:suppressAutoHyphens/>
        <w:spacing w:after="200" w:line="240" w:lineRule="auto"/>
        <w:ind w:right="-72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Если в результате такого сравнения наименьшая цена будет у предложения из группы С, все предложения из группы С будут сравниваться с оцененным предложением с наименьшей ценой из группы А, при этом к цене товаров, предлагаемых в предложениях группы С, исключительно в целях дальнейшего сравнения будет добавлена сумма, равная 15% (пятнадцати процентам) соответствующей цены СИП на товары, которые будут или уже были ввезены в страну Покупателя. И те, и другие цены должны включать в себя безусловные скидки, арифметические ошибки в них должны быть исправлены. Если цена предложения из группы А окажется ниже, оно будет выбрано для присуждения контракта. В противном случае контракт будет присужден Участнику торгов с наименьшей ценой оцененного предложения в группе С, как описано выше.</w:t>
      </w:r>
    </w:p>
    <w:p w14:paraId="0367C64E" w14:textId="77777777" w:rsidR="00553D11" w:rsidRPr="008949C2" w:rsidRDefault="00553D11" w:rsidP="00F758E0">
      <w:pPr>
        <w:keepNext/>
        <w:keepLines/>
        <w:spacing w:before="120" w:after="240" w:line="240" w:lineRule="auto"/>
        <w:rPr>
          <w:rFonts w:cs="Calibri"/>
          <w:b/>
          <w:snapToGrid w:val="0"/>
          <w:lang w:eastAsia="ru-RU"/>
        </w:rPr>
      </w:pPr>
      <w:bookmarkStart w:id="1" w:name="_Toc359587314"/>
      <w:r w:rsidRPr="008949C2">
        <w:rPr>
          <w:rFonts w:cs="Calibri"/>
          <w:b/>
          <w:snapToGrid w:val="0"/>
          <w:lang w:eastAsia="ru-RU"/>
        </w:rPr>
        <w:lastRenderedPageBreak/>
        <w:t>2. Оценка (ИУТ 34)</w:t>
      </w:r>
      <w:bookmarkEnd w:id="1"/>
    </w:p>
    <w:p w14:paraId="3F2F545C" w14:textId="77777777" w:rsidR="00553D11" w:rsidRPr="008949C2" w:rsidRDefault="00553D11" w:rsidP="00F758E0">
      <w:pPr>
        <w:keepNext/>
        <w:keepLines/>
        <w:spacing w:after="0" w:line="240" w:lineRule="auto"/>
        <w:rPr>
          <w:rFonts w:cs="Calibri"/>
          <w:b/>
          <w:snapToGrid w:val="0"/>
          <w:lang w:eastAsia="ru-RU"/>
        </w:rPr>
      </w:pPr>
      <w:r w:rsidRPr="008949C2">
        <w:rPr>
          <w:rFonts w:cs="Calibri"/>
          <w:b/>
          <w:snapToGrid w:val="0"/>
          <w:lang w:eastAsia="ru-RU"/>
        </w:rPr>
        <w:t>2.1. Критерии оценки (ИУТ 34.6)</w:t>
      </w:r>
    </w:p>
    <w:p w14:paraId="15C425D7" w14:textId="77777777" w:rsidR="00553D11" w:rsidRPr="008949C2" w:rsidRDefault="00553D11" w:rsidP="00F758E0">
      <w:pPr>
        <w:keepNext/>
        <w:keepLines/>
        <w:tabs>
          <w:tab w:val="left" w:pos="540"/>
        </w:tabs>
        <w:suppressAutoHyphens/>
        <w:spacing w:after="200" w:line="240" w:lineRule="auto"/>
        <w:ind w:right="-72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 xml:space="preserve">При оценке предложения Покупатель может учитывать, помимо Цены предложения, указанной в соответствии с ИУТ 14.8, один или несколько следующих факторов в соответствии с ИУТ 34.2(f) и ИКТП со ссылкой на ИУТ 34.6, используя следующие критерии и методы. </w:t>
      </w:r>
    </w:p>
    <w:p w14:paraId="2896FB8F" w14:textId="49D84A37" w:rsidR="00553D11" w:rsidRPr="008949C2" w:rsidRDefault="00553D11" w:rsidP="003570D4">
      <w:pPr>
        <w:tabs>
          <w:tab w:val="left" w:pos="1080"/>
        </w:tabs>
        <w:suppressAutoHyphens/>
        <w:spacing w:after="200" w:line="240" w:lineRule="auto"/>
        <w:ind w:left="567" w:right="-72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(а)</w:t>
      </w:r>
      <w:r w:rsidRPr="008949C2">
        <w:rPr>
          <w:rFonts w:cs="Calibri"/>
          <w:snapToGrid w:val="0"/>
          <w:lang w:eastAsia="ru-RU"/>
        </w:rPr>
        <w:tab/>
      </w:r>
      <w:r w:rsidR="0019423B">
        <w:rPr>
          <w:rFonts w:cs="Calibri"/>
          <w:snapToGrid w:val="0"/>
          <w:lang w:eastAsia="ru-RU"/>
        </w:rPr>
        <w:t>Отклонения в г</w:t>
      </w:r>
      <w:r w:rsidRPr="008949C2">
        <w:rPr>
          <w:rFonts w:cs="Calibri"/>
          <w:snapToGrid w:val="0"/>
          <w:lang w:eastAsia="ru-RU"/>
        </w:rPr>
        <w:t>рафик</w:t>
      </w:r>
      <w:r w:rsidR="0019423B">
        <w:rPr>
          <w:rFonts w:cs="Calibri"/>
          <w:snapToGrid w:val="0"/>
          <w:lang w:eastAsia="ru-RU"/>
        </w:rPr>
        <w:t>е</w:t>
      </w:r>
      <w:r w:rsidRPr="008949C2">
        <w:rPr>
          <w:rFonts w:cs="Calibri"/>
          <w:snapToGrid w:val="0"/>
          <w:lang w:eastAsia="ru-RU"/>
        </w:rPr>
        <w:t xml:space="preserve"> поставки</w:t>
      </w:r>
      <w:r w:rsidR="0019423B">
        <w:rPr>
          <w:rFonts w:cs="Calibri"/>
          <w:snapToGrid w:val="0"/>
          <w:lang w:eastAsia="ru-RU"/>
        </w:rPr>
        <w:t xml:space="preserve">. </w:t>
      </w:r>
      <w:r w:rsidR="0019423B" w:rsidRPr="003570D4">
        <w:rPr>
          <w:rFonts w:cs="Calibri"/>
          <w:b/>
          <w:snapToGrid w:val="0"/>
          <w:lang w:eastAsia="ru-RU"/>
        </w:rPr>
        <w:t>Да</w:t>
      </w:r>
      <w:r w:rsidR="0019423B">
        <w:rPr>
          <w:rFonts w:cs="Calibri"/>
          <w:snapToGrid w:val="0"/>
          <w:lang w:eastAsia="ru-RU"/>
        </w:rPr>
        <w:t xml:space="preserve">. </w:t>
      </w:r>
      <w:r w:rsidR="0019423B" w:rsidRPr="003570D4">
        <w:rPr>
          <w:rFonts w:cs="Calibri"/>
          <w:bCs/>
          <w:snapToGrid w:val="0"/>
          <w:sz w:val="24"/>
          <w:szCs w:val="24"/>
          <w:lang w:eastAsia="ru-RU"/>
        </w:rPr>
        <w:t>Поправочный коэффициент к стоимостной оценке предложения составляет 1,3 за каждую дополнительную неделю сверх предельного срока поставки</w:t>
      </w:r>
      <w:r w:rsidR="0019423B">
        <w:rPr>
          <w:rFonts w:cs="Calibri"/>
          <w:bCs/>
          <w:snapToGrid w:val="0"/>
          <w:sz w:val="24"/>
          <w:szCs w:val="24"/>
          <w:lang w:eastAsia="ru-RU"/>
        </w:rPr>
        <w:t>. Предельный срок поставки – 120 дней со дня подписания контракта.</w:t>
      </w:r>
    </w:p>
    <w:p w14:paraId="433D640E" w14:textId="77777777" w:rsidR="00553D11" w:rsidRPr="008949C2" w:rsidRDefault="00553D11" w:rsidP="00964149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b/>
          <w:bCs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b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>Отклонения в графике платежей</w:t>
      </w:r>
      <w:r w:rsidRPr="008949C2">
        <w:rPr>
          <w:rFonts w:cs="Calibri"/>
          <w:b/>
          <w:bCs/>
          <w:snapToGrid w:val="0"/>
          <w:lang w:eastAsia="ru-RU"/>
        </w:rPr>
        <w:t>. Не применяется</w:t>
      </w:r>
    </w:p>
    <w:p w14:paraId="25345563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c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 xml:space="preserve">Стоимость основных заменяемых деталей, необходимых запчастей и обслуживания. </w:t>
      </w:r>
      <w:r w:rsidRPr="008949C2">
        <w:rPr>
          <w:rFonts w:cs="Calibri"/>
          <w:b/>
          <w:bCs/>
          <w:iCs/>
          <w:snapToGrid w:val="0"/>
          <w:lang w:eastAsia="ru-RU"/>
        </w:rPr>
        <w:t>Не применяется</w:t>
      </w:r>
    </w:p>
    <w:p w14:paraId="63BC8ACF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i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d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 xml:space="preserve">Доступность запчастей и послепродажного обслуживания оборудования, предлагаемого в предложении, в стране Покупателя. </w:t>
      </w:r>
      <w:r w:rsidRPr="008949C2">
        <w:rPr>
          <w:rFonts w:cs="Calibri"/>
          <w:b/>
          <w:bCs/>
          <w:snapToGrid w:val="0"/>
          <w:lang w:eastAsia="ru-RU"/>
        </w:rPr>
        <w:t>Не применяется</w:t>
      </w:r>
    </w:p>
    <w:p w14:paraId="53260ADA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94" w:right="-72" w:hanging="547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e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>Предполагаемые расходы на эксплуатацию и техобслуживание.</w:t>
      </w:r>
    </w:p>
    <w:p w14:paraId="757B3D5C" w14:textId="4F9139F1" w:rsidR="00553D11" w:rsidRPr="008949C2" w:rsidRDefault="00553D11" w:rsidP="00F758E0">
      <w:pPr>
        <w:suppressAutoHyphens/>
        <w:spacing w:after="200" w:line="240" w:lineRule="auto"/>
        <w:ind w:left="1080" w:right="-72"/>
        <w:jc w:val="both"/>
        <w:rPr>
          <w:rFonts w:cs="Calibri"/>
          <w:b/>
          <w:bCs/>
          <w:i/>
          <w:snapToGrid w:val="0"/>
          <w:lang w:eastAsia="ru-RU"/>
        </w:rPr>
      </w:pPr>
      <w:r w:rsidRPr="008949C2">
        <w:rPr>
          <w:rFonts w:cs="Calibri"/>
          <w:b/>
          <w:bCs/>
          <w:snapToGrid w:val="0"/>
          <w:lang w:eastAsia="ru-RU"/>
        </w:rPr>
        <w:t xml:space="preserve">Не </w:t>
      </w:r>
      <w:r w:rsidR="0017683E" w:rsidRPr="008949C2">
        <w:rPr>
          <w:rFonts w:cs="Calibri"/>
          <w:b/>
          <w:bCs/>
          <w:snapToGrid w:val="0"/>
          <w:lang w:eastAsia="ru-RU"/>
        </w:rPr>
        <w:t>применяется</w:t>
      </w:r>
    </w:p>
    <w:p w14:paraId="13EDEF68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b/>
          <w:bCs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f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 xml:space="preserve">Эксплуатационные характеристики и производительность оборудования. </w:t>
      </w:r>
      <w:r w:rsidRPr="008949C2">
        <w:rPr>
          <w:rFonts w:cs="Calibri"/>
          <w:b/>
          <w:bCs/>
          <w:snapToGrid w:val="0"/>
          <w:lang w:eastAsia="ru-RU"/>
        </w:rPr>
        <w:t>Не применяется</w:t>
      </w:r>
    </w:p>
    <w:p w14:paraId="2A061B5C" w14:textId="77777777" w:rsidR="00553D11" w:rsidRPr="008949C2" w:rsidRDefault="00553D11" w:rsidP="00BF52FF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g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 xml:space="preserve">Особые дополнительные критерии. </w:t>
      </w:r>
      <w:r w:rsidRPr="008949C2">
        <w:rPr>
          <w:rFonts w:cs="Calibri"/>
          <w:b/>
          <w:bCs/>
          <w:iCs/>
          <w:snapToGrid w:val="0"/>
          <w:lang w:eastAsia="ru-RU"/>
        </w:rPr>
        <w:t>Не применяется</w:t>
      </w:r>
    </w:p>
    <w:p w14:paraId="47546333" w14:textId="77777777" w:rsidR="00553D11" w:rsidRPr="008949C2" w:rsidRDefault="00553D11" w:rsidP="00F758E0">
      <w:pPr>
        <w:spacing w:after="0" w:line="240" w:lineRule="auto"/>
        <w:jc w:val="center"/>
        <w:rPr>
          <w:rFonts w:cs="Calibri"/>
          <w:b/>
          <w:snapToGrid w:val="0"/>
          <w:lang w:eastAsia="ru-RU"/>
        </w:rPr>
      </w:pPr>
    </w:p>
    <w:p w14:paraId="0B6E8002" w14:textId="77777777" w:rsidR="00553D11" w:rsidRPr="008949C2" w:rsidRDefault="00553D11" w:rsidP="00F758E0">
      <w:pPr>
        <w:spacing w:after="200" w:line="240" w:lineRule="auto"/>
        <w:rPr>
          <w:rFonts w:cs="Calibri"/>
          <w:b/>
          <w:snapToGrid w:val="0"/>
          <w:lang w:eastAsia="ru-RU"/>
        </w:rPr>
      </w:pPr>
      <w:r w:rsidRPr="008949C2">
        <w:rPr>
          <w:rFonts w:cs="Calibri"/>
          <w:b/>
          <w:snapToGrid w:val="0"/>
          <w:lang w:eastAsia="ru-RU"/>
        </w:rPr>
        <w:t>2.2. Несколько контрактов (ИУТ 34.4). Не применяется</w:t>
      </w:r>
    </w:p>
    <w:p w14:paraId="29319675" w14:textId="77777777" w:rsidR="00553D11" w:rsidRPr="008949C2" w:rsidRDefault="00553D11" w:rsidP="00F758E0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 xml:space="preserve">Покупатель присудит несколько контрактов Участнику торгов, который предложит наименьшую цену за сочетание нескольких предложений (по одному контракту на предложение), отвечающих критериям </w:t>
      </w:r>
      <w:proofErr w:type="spellStart"/>
      <w:r w:rsidRPr="008949C2">
        <w:rPr>
          <w:rFonts w:cs="Calibri"/>
          <w:snapToGrid w:val="0"/>
          <w:lang w:eastAsia="ru-RU"/>
        </w:rPr>
        <w:t>постквалификационного</w:t>
      </w:r>
      <w:proofErr w:type="spellEnd"/>
      <w:r w:rsidRPr="008949C2">
        <w:rPr>
          <w:rFonts w:cs="Calibri"/>
          <w:snapToGrid w:val="0"/>
          <w:lang w:eastAsia="ru-RU"/>
        </w:rPr>
        <w:t xml:space="preserve"> отбора (раздел III, подпункт ИУТ 36.1 «</w:t>
      </w:r>
      <w:proofErr w:type="spellStart"/>
      <w:r w:rsidRPr="008949C2">
        <w:rPr>
          <w:rFonts w:cs="Calibri"/>
          <w:snapToGrid w:val="0"/>
          <w:lang w:eastAsia="ru-RU"/>
        </w:rPr>
        <w:t>Постквалификационные</w:t>
      </w:r>
      <w:proofErr w:type="spellEnd"/>
      <w:r w:rsidRPr="008949C2">
        <w:rPr>
          <w:rFonts w:cs="Calibri"/>
          <w:snapToGrid w:val="0"/>
          <w:lang w:eastAsia="ru-RU"/>
        </w:rPr>
        <w:t xml:space="preserve"> требования»).</w:t>
      </w:r>
    </w:p>
    <w:p w14:paraId="6E65D626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right="-72" w:hanging="108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Покупатель должен:</w:t>
      </w:r>
    </w:p>
    <w:p w14:paraId="53D5733A" w14:textId="77777777" w:rsidR="00553D11" w:rsidRPr="008949C2" w:rsidRDefault="00553D11" w:rsidP="00F758E0">
      <w:pPr>
        <w:tabs>
          <w:tab w:val="left" w:pos="1080"/>
        </w:tabs>
        <w:suppressAutoHyphens/>
        <w:spacing w:after="200" w:line="240" w:lineRule="auto"/>
        <w:ind w:left="1080" w:right="-72" w:hanging="54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(а)</w:t>
      </w:r>
      <w:r w:rsidRPr="008949C2">
        <w:rPr>
          <w:rFonts w:cs="Calibri"/>
          <w:snapToGrid w:val="0"/>
          <w:lang w:eastAsia="ru-RU"/>
        </w:rPr>
        <w:tab/>
        <w:t>оценивать только лоты или контракты, включающие как минимум процент позиций по лоту и количества по позиции, указанные в ИУТ</w:t>
      </w:r>
      <w:r w:rsidRPr="008949C2">
        <w:rPr>
          <w:rFonts w:cs="Calibri"/>
          <w:snapToGrid w:val="0"/>
          <w:lang w:val="en-US" w:eastAsia="ru-RU"/>
        </w:rPr>
        <w:t> </w:t>
      </w:r>
      <w:r w:rsidRPr="008949C2">
        <w:rPr>
          <w:rFonts w:cs="Calibri"/>
          <w:snapToGrid w:val="0"/>
          <w:lang w:eastAsia="ru-RU"/>
        </w:rPr>
        <w:t xml:space="preserve">14.8; </w:t>
      </w:r>
    </w:p>
    <w:p w14:paraId="3EB268FD" w14:textId="77777777" w:rsidR="00553D11" w:rsidRPr="008949C2" w:rsidRDefault="00553D11" w:rsidP="00F758E0">
      <w:pPr>
        <w:spacing w:after="200" w:line="240" w:lineRule="auto"/>
        <w:rPr>
          <w:rFonts w:cs="Calibri"/>
          <w:snapToGrid w:val="0"/>
          <w:kern w:val="28"/>
          <w:lang w:val="en-US" w:eastAsia="ru-RU"/>
        </w:rPr>
      </w:pPr>
      <w:r w:rsidRPr="008949C2">
        <w:rPr>
          <w:rFonts w:cs="Calibri"/>
          <w:snapToGrid w:val="0"/>
          <w:lang w:eastAsia="ru-RU"/>
        </w:rPr>
        <w:tab/>
      </w:r>
      <w:r w:rsidRPr="008949C2">
        <w:rPr>
          <w:rFonts w:cs="Calibri"/>
          <w:snapToGrid w:val="0"/>
          <w:kern w:val="28"/>
          <w:lang w:val="en-US" w:eastAsia="ru-RU"/>
        </w:rPr>
        <w:t>(b)</w:t>
      </w:r>
      <w:r w:rsidRPr="008949C2">
        <w:rPr>
          <w:rFonts w:cs="Calibri"/>
          <w:snapToGrid w:val="0"/>
          <w:kern w:val="28"/>
          <w:lang w:val="en-US" w:eastAsia="ru-RU"/>
        </w:rPr>
        <w:tab/>
      </w:r>
      <w:r w:rsidRPr="008949C2">
        <w:rPr>
          <w:rFonts w:cs="Calibri"/>
          <w:snapToGrid w:val="0"/>
          <w:kern w:val="28"/>
          <w:lang w:eastAsia="ru-RU"/>
        </w:rPr>
        <w:t>учитывать</w:t>
      </w:r>
      <w:r w:rsidRPr="008949C2">
        <w:rPr>
          <w:rFonts w:cs="Calibri"/>
          <w:snapToGrid w:val="0"/>
          <w:kern w:val="28"/>
          <w:lang w:val="en-US" w:eastAsia="ru-RU"/>
        </w:rPr>
        <w:t>:</w:t>
      </w:r>
    </w:p>
    <w:p w14:paraId="5D72817C" w14:textId="77777777" w:rsidR="00553D11" w:rsidRPr="008949C2" w:rsidRDefault="00553D11" w:rsidP="00F758E0">
      <w:pPr>
        <w:numPr>
          <w:ilvl w:val="3"/>
          <w:numId w:val="1"/>
        </w:numPr>
        <w:tabs>
          <w:tab w:val="left" w:pos="1620"/>
        </w:tabs>
        <w:suppressAutoHyphens/>
        <w:spacing w:after="200" w:line="240" w:lineRule="auto"/>
        <w:ind w:left="1620" w:right="-72" w:hanging="54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оцененное предложение с наименьшей ценой по каждому лоту и</w:t>
      </w:r>
    </w:p>
    <w:p w14:paraId="0CDE4825" w14:textId="77777777" w:rsidR="00553D11" w:rsidRPr="008949C2" w:rsidRDefault="00553D11" w:rsidP="00F758E0">
      <w:pPr>
        <w:tabs>
          <w:tab w:val="left" w:pos="1620"/>
        </w:tabs>
        <w:suppressAutoHyphens/>
        <w:spacing w:after="200" w:line="240" w:lineRule="auto"/>
        <w:ind w:left="1620" w:right="-72" w:hanging="54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ii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>снижение цены по лоту и методику ее применения, изложенную Участником торгов в его предложении.</w:t>
      </w:r>
    </w:p>
    <w:p w14:paraId="46825B9A" w14:textId="77777777" w:rsidR="00553D11" w:rsidRPr="008949C2" w:rsidRDefault="00553D11" w:rsidP="00F758E0">
      <w:pPr>
        <w:spacing w:after="200" w:line="240" w:lineRule="auto"/>
        <w:rPr>
          <w:rFonts w:cs="Calibri"/>
          <w:b/>
          <w:snapToGrid w:val="0"/>
          <w:lang w:eastAsia="ru-RU"/>
        </w:rPr>
      </w:pPr>
      <w:r w:rsidRPr="008949C2">
        <w:rPr>
          <w:rFonts w:cs="Calibri"/>
          <w:b/>
          <w:snapToGrid w:val="0"/>
          <w:lang w:eastAsia="ru-RU"/>
        </w:rPr>
        <w:t>2.3. Альтернативные предложения (ИУТ 13.1)</w:t>
      </w:r>
    </w:p>
    <w:p w14:paraId="12010A93" w14:textId="77777777" w:rsidR="00553D11" w:rsidRPr="008949C2" w:rsidRDefault="00553D11" w:rsidP="00F758E0">
      <w:pPr>
        <w:spacing w:before="120" w:after="0" w:line="240" w:lineRule="auto"/>
        <w:jc w:val="both"/>
        <w:rPr>
          <w:rFonts w:cs="Calibri"/>
          <w:b/>
          <w:bCs/>
          <w:snapToGrid w:val="0"/>
          <w:lang w:eastAsia="ru-RU"/>
        </w:rPr>
      </w:pPr>
      <w:r w:rsidRPr="008949C2">
        <w:rPr>
          <w:rFonts w:cs="Calibri"/>
          <w:b/>
          <w:bCs/>
          <w:snapToGrid w:val="0"/>
          <w:lang w:eastAsia="ru-RU"/>
        </w:rPr>
        <w:t>Не применяется</w:t>
      </w:r>
    </w:p>
    <w:p w14:paraId="4CFF64E5" w14:textId="77777777" w:rsidR="00553D11" w:rsidRPr="008949C2" w:rsidRDefault="00553D11" w:rsidP="00F758E0">
      <w:pPr>
        <w:spacing w:after="200" w:line="240" w:lineRule="auto"/>
        <w:rPr>
          <w:rFonts w:cs="Calibri"/>
          <w:b/>
          <w:snapToGrid w:val="0"/>
          <w:lang w:eastAsia="ru-RU"/>
        </w:rPr>
      </w:pPr>
    </w:p>
    <w:p w14:paraId="7CCE8792" w14:textId="77777777" w:rsidR="00553D11" w:rsidRPr="008949C2" w:rsidRDefault="00553D11" w:rsidP="00F758E0">
      <w:pPr>
        <w:spacing w:before="120" w:after="240" w:line="240" w:lineRule="auto"/>
        <w:rPr>
          <w:rFonts w:cs="Calibri"/>
          <w:b/>
          <w:snapToGrid w:val="0"/>
          <w:lang w:eastAsia="ru-RU"/>
        </w:rPr>
      </w:pPr>
      <w:bookmarkStart w:id="2" w:name="_Toc359587315"/>
      <w:r w:rsidRPr="008949C2">
        <w:rPr>
          <w:rFonts w:cs="Calibri"/>
          <w:b/>
          <w:snapToGrid w:val="0"/>
          <w:lang w:eastAsia="ru-RU"/>
        </w:rPr>
        <w:t>3. Квалификация (ИУТ 36)</w:t>
      </w:r>
      <w:bookmarkEnd w:id="2"/>
    </w:p>
    <w:p w14:paraId="1A33D8D6" w14:textId="77777777" w:rsidR="00553D11" w:rsidRPr="008949C2" w:rsidRDefault="00553D11" w:rsidP="00F758E0">
      <w:pPr>
        <w:spacing w:after="200" w:line="240" w:lineRule="auto"/>
        <w:rPr>
          <w:rFonts w:cs="Calibri"/>
          <w:b/>
          <w:snapToGrid w:val="0"/>
          <w:lang w:eastAsia="ru-RU"/>
        </w:rPr>
      </w:pPr>
      <w:r w:rsidRPr="008949C2">
        <w:rPr>
          <w:rFonts w:cs="Calibri"/>
          <w:b/>
          <w:snapToGrid w:val="0"/>
          <w:lang w:eastAsia="ru-RU"/>
        </w:rPr>
        <w:lastRenderedPageBreak/>
        <w:t>3.1</w:t>
      </w:r>
      <w:r w:rsidRPr="008949C2">
        <w:rPr>
          <w:rFonts w:cs="Calibri"/>
          <w:b/>
          <w:snapToGrid w:val="0"/>
          <w:lang w:val="en-US" w:eastAsia="ru-RU"/>
        </w:rPr>
        <w:t> </w:t>
      </w:r>
      <w:proofErr w:type="spellStart"/>
      <w:r w:rsidRPr="008949C2">
        <w:rPr>
          <w:rFonts w:cs="Calibri"/>
          <w:b/>
          <w:snapToGrid w:val="0"/>
          <w:lang w:eastAsia="ru-RU"/>
        </w:rPr>
        <w:t>Постквалификационные</w:t>
      </w:r>
      <w:proofErr w:type="spellEnd"/>
      <w:r w:rsidRPr="008949C2">
        <w:rPr>
          <w:rFonts w:cs="Calibri"/>
          <w:b/>
          <w:snapToGrid w:val="0"/>
          <w:lang w:eastAsia="ru-RU"/>
        </w:rPr>
        <w:t xml:space="preserve"> требования (ИУТ 36.1)</w:t>
      </w:r>
    </w:p>
    <w:p w14:paraId="521259B1" w14:textId="77777777" w:rsidR="00553D11" w:rsidRPr="008949C2" w:rsidRDefault="00553D11" w:rsidP="00F758E0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 xml:space="preserve">После определения предложения с наименьшей ценой согласно ИУТ 35.1 Покупатель должен провести </w:t>
      </w:r>
      <w:proofErr w:type="spellStart"/>
      <w:r w:rsidRPr="008949C2">
        <w:rPr>
          <w:rFonts w:cs="Calibri"/>
          <w:snapToGrid w:val="0"/>
          <w:lang w:eastAsia="ru-RU"/>
        </w:rPr>
        <w:t>постквалификационный</w:t>
      </w:r>
      <w:proofErr w:type="spellEnd"/>
      <w:r w:rsidRPr="008949C2">
        <w:rPr>
          <w:rFonts w:cs="Calibri"/>
          <w:snapToGrid w:val="0"/>
          <w:lang w:eastAsia="ru-RU"/>
        </w:rPr>
        <w:t xml:space="preserve"> отбор Участника торгов в соответствии с ИУТ</w:t>
      </w:r>
      <w:r w:rsidRPr="008949C2">
        <w:rPr>
          <w:rFonts w:cs="Calibri"/>
          <w:snapToGrid w:val="0"/>
          <w:lang w:val="en-US" w:eastAsia="ru-RU"/>
        </w:rPr>
        <w:t> </w:t>
      </w:r>
      <w:r w:rsidRPr="008949C2">
        <w:rPr>
          <w:rFonts w:cs="Calibri"/>
          <w:snapToGrid w:val="0"/>
          <w:lang w:eastAsia="ru-RU"/>
        </w:rPr>
        <w:t xml:space="preserve">36, используя только указанные требования. При оценке квалификации Участника торгов не должны использоваться требования, не перечисленные ниже. </w:t>
      </w:r>
    </w:p>
    <w:p w14:paraId="2507ADE0" w14:textId="77777777" w:rsidR="00553D11" w:rsidRPr="008949C2" w:rsidRDefault="00553D11" w:rsidP="003570D4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 xml:space="preserve">(а) </w:t>
      </w:r>
      <w:r w:rsidRPr="008949C2">
        <w:rPr>
          <w:rFonts w:cs="Calibri"/>
          <w:snapToGrid w:val="0"/>
          <w:lang w:eastAsia="ru-RU"/>
        </w:rPr>
        <w:tab/>
        <w:t>Финансовые возможности</w:t>
      </w:r>
    </w:p>
    <w:p w14:paraId="32A6244C" w14:textId="77777777" w:rsidR="00553D11" w:rsidRPr="008949C2" w:rsidRDefault="00553D11" w:rsidP="003570D4">
      <w:pPr>
        <w:pStyle w:val="a7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Участник должен документально подтвердить свою финансовую устойчивость, предоставив финансовые отчеты за последние 3</w:t>
      </w:r>
      <w:r w:rsidRPr="008949C2">
        <w:rPr>
          <w:rFonts w:cs="Calibri"/>
          <w:i/>
          <w:snapToGrid w:val="0"/>
          <w:lang w:eastAsia="ru-RU"/>
        </w:rPr>
        <w:t xml:space="preserve"> </w:t>
      </w:r>
      <w:r w:rsidRPr="008949C2">
        <w:rPr>
          <w:rFonts w:cs="Calibri"/>
          <w:snapToGrid w:val="0"/>
          <w:lang w:eastAsia="ru-RU"/>
        </w:rPr>
        <w:t>(три) года.</w:t>
      </w:r>
    </w:p>
    <w:p w14:paraId="2ACB3ABF" w14:textId="77777777" w:rsidR="00553D11" w:rsidRPr="008949C2" w:rsidRDefault="00553D11" w:rsidP="00E21EFB">
      <w:pPr>
        <w:pStyle w:val="a7"/>
        <w:numPr>
          <w:ilvl w:val="0"/>
          <w:numId w:val="2"/>
        </w:num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</w:rPr>
        <w:t>Документальное подтверждение годового оборота Участников торгов</w:t>
      </w:r>
      <w:r>
        <w:rPr>
          <w:rFonts w:cs="Calibri"/>
          <w:snapToGrid w:val="0"/>
        </w:rPr>
        <w:t>. Он</w:t>
      </w:r>
      <w:r w:rsidRPr="008949C2">
        <w:rPr>
          <w:rFonts w:cs="Calibri"/>
          <w:snapToGrid w:val="0"/>
        </w:rPr>
        <w:t xml:space="preserve"> должен быть не менее 2,5 млн долларов США в </w:t>
      </w:r>
      <w:smartTag w:uri="urn:schemas-microsoft-com:office:smarttags" w:element="metricconverter">
        <w:smartTagPr>
          <w:attr w:name="ProductID" w:val="2017 г"/>
        </w:smartTagPr>
        <w:r w:rsidRPr="008949C2">
          <w:rPr>
            <w:rFonts w:cs="Calibri"/>
            <w:snapToGrid w:val="0"/>
          </w:rPr>
          <w:t>2017 г</w:t>
        </w:r>
      </w:smartTag>
      <w:r w:rsidRPr="008949C2">
        <w:rPr>
          <w:rFonts w:cs="Calibri"/>
          <w:snapToGrid w:val="0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8949C2">
          <w:rPr>
            <w:rFonts w:cs="Calibri"/>
            <w:snapToGrid w:val="0"/>
          </w:rPr>
          <w:t>2018 г</w:t>
        </w:r>
      </w:smartTag>
      <w:r w:rsidRPr="008949C2">
        <w:rPr>
          <w:rFonts w:cs="Calibri"/>
          <w:snapToGrid w:val="0"/>
        </w:rPr>
        <w:t>.,2019 г. ежегодно</w:t>
      </w:r>
    </w:p>
    <w:p w14:paraId="090F124D" w14:textId="77777777" w:rsidR="00553D11" w:rsidRPr="008949C2" w:rsidRDefault="00553D11" w:rsidP="003570D4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(</w:t>
      </w:r>
      <w:r w:rsidRPr="008949C2">
        <w:rPr>
          <w:rFonts w:cs="Calibri"/>
          <w:snapToGrid w:val="0"/>
          <w:lang w:val="en-US" w:eastAsia="ru-RU"/>
        </w:rPr>
        <w:t>b</w:t>
      </w:r>
      <w:r w:rsidRPr="008949C2">
        <w:rPr>
          <w:rFonts w:cs="Calibri"/>
          <w:snapToGrid w:val="0"/>
          <w:lang w:eastAsia="ru-RU"/>
        </w:rPr>
        <w:t>)</w:t>
      </w:r>
      <w:r w:rsidRPr="008949C2">
        <w:rPr>
          <w:rFonts w:cs="Calibri"/>
          <w:snapToGrid w:val="0"/>
          <w:lang w:eastAsia="ru-RU"/>
        </w:rPr>
        <w:tab/>
        <w:t>Опыт и технические возможности</w:t>
      </w:r>
    </w:p>
    <w:p w14:paraId="223DBD69" w14:textId="395FC33A" w:rsidR="00553D11" w:rsidRDefault="00553D11" w:rsidP="00204DA7">
      <w:pPr>
        <w:pStyle w:val="a7"/>
        <w:numPr>
          <w:ilvl w:val="0"/>
          <w:numId w:val="3"/>
        </w:numPr>
        <w:spacing w:before="60" w:after="60" w:line="240" w:lineRule="auto"/>
        <w:ind w:left="709"/>
        <w:jc w:val="both"/>
        <w:rPr>
          <w:rFonts w:cs="Calibri"/>
          <w:snapToGrid w:val="0"/>
          <w:lang w:eastAsia="ru-RU"/>
        </w:rPr>
      </w:pPr>
      <w:r w:rsidRPr="008949C2">
        <w:rPr>
          <w:rFonts w:cs="Calibri"/>
          <w:snapToGrid w:val="0"/>
          <w:lang w:eastAsia="ru-RU"/>
        </w:rPr>
        <w:t>Каждый Участник должен иметь по крайней мере трехлетний опыт работы в рассматриваемой области и не меньше 3 (трех) успешно завершенных крупных контракта по поставке и наладке аналогичных (по номенклатуре оборудования) передвижных медицинских комплексов в горные районы стран ЕЭ</w:t>
      </w:r>
      <w:r>
        <w:rPr>
          <w:rFonts w:cs="Calibri"/>
          <w:snapToGrid w:val="0"/>
          <w:lang w:eastAsia="ru-RU"/>
        </w:rPr>
        <w:t>А</w:t>
      </w:r>
      <w:r w:rsidRPr="008949C2">
        <w:rPr>
          <w:rFonts w:cs="Calibri"/>
          <w:snapToGrid w:val="0"/>
          <w:lang w:eastAsia="ru-RU"/>
        </w:rPr>
        <w:t>С и стран Центральной Азии. В подтверждение опыта необходимо представить копии соответствующих контрактов.</w:t>
      </w:r>
    </w:p>
    <w:p w14:paraId="29D14CC8" w14:textId="77777777" w:rsidR="00204DA7" w:rsidRPr="008949C2" w:rsidRDefault="00204DA7" w:rsidP="003570D4">
      <w:pPr>
        <w:pStyle w:val="a7"/>
        <w:spacing w:before="60" w:after="60" w:line="240" w:lineRule="auto"/>
        <w:ind w:left="709"/>
        <w:jc w:val="both"/>
        <w:rPr>
          <w:rFonts w:cs="Calibri"/>
          <w:snapToGrid w:val="0"/>
          <w:lang w:eastAsia="ru-RU"/>
        </w:rPr>
      </w:pPr>
    </w:p>
    <w:p w14:paraId="29879FD2" w14:textId="09A3F40E" w:rsidR="00553D11" w:rsidRPr="008949C2" w:rsidRDefault="00553D11" w:rsidP="003570D4">
      <w:pPr>
        <w:spacing w:after="200" w:line="240" w:lineRule="auto"/>
        <w:jc w:val="both"/>
        <w:rPr>
          <w:rFonts w:cs="Calibri"/>
          <w:snapToGrid w:val="0"/>
          <w:lang w:eastAsia="ru-RU"/>
        </w:rPr>
      </w:pPr>
      <w:r>
        <w:rPr>
          <w:rFonts w:cs="Calibri"/>
          <w:snapToGrid w:val="0"/>
          <w:lang w:eastAsia="ru-RU"/>
        </w:rPr>
        <w:t>(с)</w:t>
      </w:r>
      <w:r w:rsidR="00204DA7">
        <w:rPr>
          <w:rFonts w:cs="Calibri"/>
          <w:snapToGrid w:val="0"/>
          <w:lang w:eastAsia="ru-RU"/>
        </w:rPr>
        <w:tab/>
      </w:r>
      <w:r w:rsidRPr="008949C2">
        <w:rPr>
          <w:rFonts w:cs="Calibri"/>
          <w:snapToGrid w:val="0"/>
          <w:lang w:eastAsia="ru-RU"/>
        </w:rPr>
        <w:t xml:space="preserve">Участник торгов должен предоставить документальное подтверждение того, что предлагаемые им товары отвечают следующим требованиям с точки зрения использования: </w:t>
      </w:r>
    </w:p>
    <w:p w14:paraId="3225BC46" w14:textId="77777777" w:rsidR="00204DA7" w:rsidRDefault="00553D11" w:rsidP="003570D4">
      <w:pPr>
        <w:pStyle w:val="a8"/>
        <w:numPr>
          <w:ilvl w:val="0"/>
          <w:numId w:val="4"/>
        </w:numPr>
        <w:spacing w:after="240"/>
        <w:ind w:left="709" w:hanging="357"/>
        <w:jc w:val="both"/>
        <w:rPr>
          <w:rFonts w:ascii="Calibri" w:hAnsi="Calibri" w:cs="Calibri"/>
          <w:iCs/>
          <w:color w:val="auto"/>
        </w:rPr>
      </w:pPr>
      <w:r w:rsidRPr="008949C2">
        <w:rPr>
          <w:rFonts w:ascii="Calibri" w:hAnsi="Calibri" w:cs="Calibri"/>
          <w:iCs/>
          <w:color w:val="auto"/>
        </w:rPr>
        <w:t>Подтверждение производителя или Участника торгов того, что модели медицинского оборудования, предлагаемые на торги, находятся в серийном производстве по крайней мере 12 (Двенадцать) месяцев до вскрытия предложений.</w:t>
      </w:r>
    </w:p>
    <w:p w14:paraId="530AFDAD" w14:textId="3F01C609" w:rsidR="00553D11" w:rsidRPr="008949C2" w:rsidRDefault="00006C6A" w:rsidP="003570D4">
      <w:pPr>
        <w:pStyle w:val="a8"/>
        <w:numPr>
          <w:ilvl w:val="0"/>
          <w:numId w:val="4"/>
        </w:numPr>
        <w:spacing w:after="160"/>
        <w:ind w:left="709" w:hanging="357"/>
        <w:jc w:val="both"/>
        <w:rPr>
          <w:rFonts w:ascii="Calibri" w:hAnsi="Calibri" w:cs="Calibri"/>
          <w:iCs/>
          <w:color w:val="auto"/>
        </w:rPr>
      </w:pPr>
      <w:r w:rsidRPr="00006C6A">
        <w:rPr>
          <w:rFonts w:ascii="Calibri" w:hAnsi="Calibri" w:cs="Calibri"/>
          <w:iCs/>
          <w:color w:val="auto"/>
        </w:rPr>
        <w:t>Копия регистрационного удостоверения товара, выданного Росздравнадзором (Минздравом России) на каждое медицинское изделие, входящее в комплект поставки (в том числе на передвижной медицинский комплекс на шасси транспортного средства), по товарам, подлежащим регистрации. Либо/и копия регистрационного удостоверения, выданного соответствующим органом Кыргызской Республики. На момент подачи заявки Товар должен быть зарегистрирован и разрешен для обращения на территории Российской Федерации и/или Кыргызской Республики в установленном порядке.</w:t>
      </w:r>
    </w:p>
    <w:p w14:paraId="67B2AD23" w14:textId="01CE3446" w:rsidR="00553D11" w:rsidRPr="008949C2" w:rsidRDefault="00553D11" w:rsidP="00204DA7">
      <w:pPr>
        <w:pStyle w:val="a7"/>
        <w:numPr>
          <w:ilvl w:val="0"/>
          <w:numId w:val="4"/>
        </w:numPr>
        <w:ind w:left="709" w:hanging="359"/>
        <w:jc w:val="both"/>
        <w:rPr>
          <w:rFonts w:cs="Calibri"/>
        </w:rPr>
      </w:pPr>
      <w:r w:rsidRPr="008949C2">
        <w:rPr>
          <w:rFonts w:cs="Calibri"/>
          <w:iCs/>
        </w:rPr>
        <w:t>Документальное подтверждение соответствия ГОСТ Р 56328-2014. Национальный стандарт Российской Федерации. Изделия медицинские. Подвижные (передвижные) комплексы медицинского назначения. Общие технические требования и методы испытаний" или д</w:t>
      </w:r>
      <w:r w:rsidRPr="008949C2">
        <w:rPr>
          <w:rFonts w:cs="Calibri"/>
          <w:snapToGrid w:val="0"/>
        </w:rPr>
        <w:t>ругим официальным стандартам, обеспечивающим, как минимум, аналогичное качество</w:t>
      </w:r>
      <w:r w:rsidR="00672744">
        <w:rPr>
          <w:rFonts w:cs="Calibri"/>
          <w:snapToGrid w:val="0"/>
        </w:rPr>
        <w:t>.</w:t>
      </w:r>
    </w:p>
    <w:sectPr w:rsidR="00553D11" w:rsidRPr="008949C2" w:rsidSect="008F682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F820" w14:textId="77777777" w:rsidR="00553D11" w:rsidRDefault="00553D11" w:rsidP="008F682F">
      <w:pPr>
        <w:spacing w:after="0" w:line="240" w:lineRule="auto"/>
      </w:pPr>
      <w:r>
        <w:separator/>
      </w:r>
    </w:p>
  </w:endnote>
  <w:endnote w:type="continuationSeparator" w:id="0">
    <w:p w14:paraId="0FBAEF76" w14:textId="77777777" w:rsidR="00553D11" w:rsidRDefault="00553D11" w:rsidP="008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3C2F" w14:textId="5A919BCD" w:rsidR="00553D11" w:rsidRDefault="006B2BF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3807">
      <w:rPr>
        <w:noProof/>
      </w:rPr>
      <w:t>36</w:t>
    </w:r>
    <w:r>
      <w:rPr>
        <w:noProof/>
      </w:rPr>
      <w:fldChar w:fldCharType="end"/>
    </w:r>
  </w:p>
  <w:p w14:paraId="6B2CCEE2" w14:textId="77777777" w:rsidR="00553D11" w:rsidRDefault="00553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0902" w14:textId="77777777" w:rsidR="00553D11" w:rsidRDefault="00553D11" w:rsidP="008F682F">
      <w:pPr>
        <w:spacing w:after="0" w:line="240" w:lineRule="auto"/>
      </w:pPr>
      <w:r>
        <w:separator/>
      </w:r>
    </w:p>
  </w:footnote>
  <w:footnote w:type="continuationSeparator" w:id="0">
    <w:p w14:paraId="13D98326" w14:textId="77777777" w:rsidR="00553D11" w:rsidRDefault="00553D11" w:rsidP="008F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FB01" w14:textId="77777777" w:rsidR="00553D11" w:rsidRPr="003570D4" w:rsidRDefault="00553D11" w:rsidP="008F682F">
    <w:pPr>
      <w:keepNext/>
      <w:keepLines/>
      <w:suppressAutoHyphens/>
      <w:spacing w:before="240" w:after="360" w:line="240" w:lineRule="auto"/>
      <w:jc w:val="center"/>
      <w:rPr>
        <w:rFonts w:asciiTheme="minorHAnsi" w:hAnsiTheme="minorHAnsi"/>
        <w:b/>
        <w:bCs/>
        <w:snapToGrid w:val="0"/>
        <w:sz w:val="24"/>
        <w:szCs w:val="24"/>
      </w:rPr>
    </w:pPr>
    <w:bookmarkStart w:id="3" w:name="_Toc359586745"/>
    <w:r w:rsidRPr="003570D4">
      <w:rPr>
        <w:rFonts w:asciiTheme="minorHAnsi" w:hAnsiTheme="minorHAnsi"/>
        <w:b/>
        <w:bCs/>
        <w:snapToGrid w:val="0"/>
        <w:sz w:val="24"/>
        <w:szCs w:val="24"/>
      </w:rPr>
      <w:t>Раздел III. Критерии оценки и квалификационного отбора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ABE"/>
    <w:multiLevelType w:val="hybridMultilevel"/>
    <w:tmpl w:val="C80C1828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E2A5BD8"/>
    <w:multiLevelType w:val="hybridMultilevel"/>
    <w:tmpl w:val="547EF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03B"/>
    <w:multiLevelType w:val="multilevel"/>
    <w:tmpl w:val="16BECE9A"/>
    <w:lvl w:ilvl="0">
      <w:start w:val="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4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973"/>
        </w:tabs>
        <w:ind w:left="973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334FF0"/>
    <w:multiLevelType w:val="hybridMultilevel"/>
    <w:tmpl w:val="F5EABCA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8E0"/>
    <w:rsid w:val="00006C02"/>
    <w:rsid w:val="00006C6A"/>
    <w:rsid w:val="000272FE"/>
    <w:rsid w:val="0009012C"/>
    <w:rsid w:val="00172777"/>
    <w:rsid w:val="0017683E"/>
    <w:rsid w:val="00193807"/>
    <w:rsid w:val="0019423B"/>
    <w:rsid w:val="00204DA7"/>
    <w:rsid w:val="00353587"/>
    <w:rsid w:val="003570D4"/>
    <w:rsid w:val="003E77DF"/>
    <w:rsid w:val="0040651A"/>
    <w:rsid w:val="004B37BF"/>
    <w:rsid w:val="004B4AB5"/>
    <w:rsid w:val="00553D11"/>
    <w:rsid w:val="00640D27"/>
    <w:rsid w:val="00672744"/>
    <w:rsid w:val="00675894"/>
    <w:rsid w:val="006B2BF1"/>
    <w:rsid w:val="007A3401"/>
    <w:rsid w:val="007F7958"/>
    <w:rsid w:val="00827FDC"/>
    <w:rsid w:val="00834EF7"/>
    <w:rsid w:val="008949C2"/>
    <w:rsid w:val="008B5F63"/>
    <w:rsid w:val="008C67E0"/>
    <w:rsid w:val="008F682F"/>
    <w:rsid w:val="00964149"/>
    <w:rsid w:val="009A710E"/>
    <w:rsid w:val="00A028D2"/>
    <w:rsid w:val="00B347A6"/>
    <w:rsid w:val="00B41EB4"/>
    <w:rsid w:val="00B52503"/>
    <w:rsid w:val="00B83B50"/>
    <w:rsid w:val="00BF52FF"/>
    <w:rsid w:val="00C03E20"/>
    <w:rsid w:val="00C75BE8"/>
    <w:rsid w:val="00D75639"/>
    <w:rsid w:val="00D81394"/>
    <w:rsid w:val="00E14861"/>
    <w:rsid w:val="00E21EFB"/>
    <w:rsid w:val="00E90BE5"/>
    <w:rsid w:val="00EE7A46"/>
    <w:rsid w:val="00F1335D"/>
    <w:rsid w:val="00F45530"/>
    <w:rsid w:val="00F60948"/>
    <w:rsid w:val="00F67371"/>
    <w:rsid w:val="00F758E0"/>
    <w:rsid w:val="00F86BE6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60707"/>
  <w15:docId w15:val="{6B5EC798-E221-441F-99FE-F8E355F7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682F"/>
    <w:rPr>
      <w:rFonts w:cs="Times New Roman"/>
    </w:rPr>
  </w:style>
  <w:style w:type="paragraph" w:styleId="a5">
    <w:name w:val="footer"/>
    <w:basedOn w:val="a"/>
    <w:link w:val="a6"/>
    <w:uiPriority w:val="99"/>
    <w:rsid w:val="008F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682F"/>
    <w:rPr>
      <w:rFonts w:cs="Times New Roman"/>
    </w:rPr>
  </w:style>
  <w:style w:type="paragraph" w:styleId="a7">
    <w:name w:val="List Paragraph"/>
    <w:basedOn w:val="a"/>
    <w:uiPriority w:val="99"/>
    <w:qFormat/>
    <w:rsid w:val="00834EF7"/>
    <w:pPr>
      <w:ind w:left="720"/>
      <w:contextualSpacing/>
    </w:pPr>
  </w:style>
  <w:style w:type="paragraph" w:styleId="a8">
    <w:name w:val="No Spacing"/>
    <w:link w:val="a9"/>
    <w:uiPriority w:val="99"/>
    <w:qFormat/>
    <w:rsid w:val="00834EF7"/>
    <w:rPr>
      <w:rFonts w:ascii="Arial Unicode MS" w:eastAsia="Arial Unicode MS" w:hAnsi="Arial Unicode MS"/>
      <w:color w:val="000000"/>
    </w:rPr>
  </w:style>
  <w:style w:type="character" w:customStyle="1" w:styleId="a9">
    <w:name w:val="Без интервала Знак"/>
    <w:link w:val="a8"/>
    <w:uiPriority w:val="99"/>
    <w:locked/>
    <w:rsid w:val="00834EF7"/>
    <w:rPr>
      <w:rFonts w:ascii="Arial Unicode MS" w:eastAsia="Arial Unicode MS" w:hAnsi="Arial Unicode MS"/>
      <w:color w:val="000000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1938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380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3807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38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3807"/>
    <w:rPr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9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8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916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Irina Suvorova</cp:lastModifiedBy>
  <cp:revision>40</cp:revision>
  <dcterms:created xsi:type="dcterms:W3CDTF">2020-05-04T15:35:00Z</dcterms:created>
  <dcterms:modified xsi:type="dcterms:W3CDTF">2020-09-27T07:13:00Z</dcterms:modified>
</cp:coreProperties>
</file>