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60"/>
        <w:gridCol w:w="7548"/>
      </w:tblGrid>
      <w:tr w:rsidR="00585553" w:rsidRPr="00240238" w:rsidTr="00891AEE">
        <w:trPr>
          <w:cantSplit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553" w:rsidRPr="00240238" w:rsidRDefault="00585553" w:rsidP="00355F39">
            <w:pPr>
              <w:spacing w:after="200"/>
              <w:jc w:val="both"/>
              <w:rPr>
                <w:rFonts w:cs="Calibri"/>
                <w:i/>
              </w:rPr>
            </w:pPr>
            <w:r w:rsidRPr="00240238">
              <w:rPr>
                <w:rFonts w:cs="Calibri"/>
              </w:rPr>
              <w:t>Нижеприведенные Специальные условия контракта (СУК) дополняют и (или) изменяют Общие условия контракта (ОУК). В случае расхождений положения данного документа имеют преимущественную силу над положениями ОУК.</w:t>
            </w:r>
            <w:r w:rsidRPr="00240238">
              <w:rPr>
                <w:rFonts w:cs="Calibri"/>
                <w:i/>
              </w:rPr>
              <w:t xml:space="preserve"> </w:t>
            </w:r>
          </w:p>
          <w:p w:rsidR="00585553" w:rsidRPr="00240238" w:rsidRDefault="00585553" w:rsidP="00355F39">
            <w:pPr>
              <w:spacing w:after="200"/>
              <w:jc w:val="right"/>
              <w:rPr>
                <w:rFonts w:cs="Calibri"/>
              </w:rPr>
            </w:pPr>
          </w:p>
        </w:tc>
      </w:tr>
      <w:tr w:rsidR="00585553" w:rsidRPr="00240238" w:rsidTr="001A616A">
        <w:trPr>
          <w:cantSplit/>
        </w:trPr>
        <w:tc>
          <w:tcPr>
            <w:tcW w:w="1560" w:type="dxa"/>
            <w:tcBorders>
              <w:top w:val="single" w:sz="12" w:space="0" w:color="auto"/>
            </w:tcBorders>
          </w:tcPr>
          <w:p w:rsidR="00585553" w:rsidRPr="00240238" w:rsidRDefault="00585553" w:rsidP="00891AEE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1.1а)</w:t>
            </w:r>
          </w:p>
        </w:tc>
        <w:tc>
          <w:tcPr>
            <w:tcW w:w="7548" w:type="dxa"/>
            <w:tcBorders>
              <w:top w:val="single" w:sz="12" w:space="0" w:color="auto"/>
            </w:tcBorders>
          </w:tcPr>
          <w:p w:rsidR="00585553" w:rsidRPr="00240238" w:rsidRDefault="00585553" w:rsidP="00891AEE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  <w:u w:val="single"/>
              </w:rPr>
              <w:t xml:space="preserve"> Банк – Евразийский банк развития (Управляющий средствами Евразийского фонда стабилизации и развития)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  <w:tcBorders>
              <w:top w:val="single" w:sz="12" w:space="0" w:color="auto"/>
            </w:tcBorders>
          </w:tcPr>
          <w:p w:rsidR="00585553" w:rsidRPr="00240238" w:rsidRDefault="00585553" w:rsidP="005141A6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1.1(i)</w:t>
            </w:r>
          </w:p>
        </w:tc>
        <w:tc>
          <w:tcPr>
            <w:tcW w:w="7548" w:type="dxa"/>
            <w:tcBorders>
              <w:top w:val="single" w:sz="12" w:space="0" w:color="auto"/>
            </w:tcBorders>
          </w:tcPr>
          <w:p w:rsidR="00585553" w:rsidRPr="00240238" w:rsidRDefault="00585553" w:rsidP="00C75758">
            <w:pPr>
              <w:tabs>
                <w:tab w:val="right" w:pos="7164"/>
              </w:tabs>
              <w:rPr>
                <w:rFonts w:cs="Calibri"/>
                <w:u w:val="single"/>
              </w:rPr>
            </w:pPr>
            <w:r w:rsidRPr="00240238">
              <w:rPr>
                <w:rFonts w:cs="Calibri"/>
              </w:rPr>
              <w:t xml:space="preserve">Страна Покупателя: </w:t>
            </w:r>
            <w:r w:rsidRPr="00240238">
              <w:rPr>
                <w:rFonts w:cs="Calibri"/>
                <w:u w:val="single"/>
              </w:rPr>
              <w:t>Кыргызская Республика</w:t>
            </w:r>
          </w:p>
          <w:p w:rsidR="00585553" w:rsidRPr="00240238" w:rsidRDefault="00585553" w:rsidP="00C75758">
            <w:pPr>
              <w:tabs>
                <w:tab w:val="right" w:pos="7164"/>
              </w:tabs>
              <w:rPr>
                <w:rFonts w:cs="Calibri"/>
              </w:rPr>
            </w:pPr>
            <w:r w:rsidRPr="00240238">
              <w:rPr>
                <w:rFonts w:cs="Calibri"/>
              </w:rPr>
              <w:t xml:space="preserve">Страна Получателя: </w:t>
            </w:r>
            <w:r w:rsidRPr="00240238">
              <w:rPr>
                <w:rFonts w:cs="Calibri"/>
                <w:u w:val="single"/>
              </w:rPr>
              <w:t>Кыргызская Республика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  <w:tcBorders>
              <w:top w:val="nil"/>
            </w:tcBorders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1.1(j)</w:t>
            </w:r>
          </w:p>
        </w:tc>
        <w:tc>
          <w:tcPr>
            <w:tcW w:w="7548" w:type="dxa"/>
            <w:tcBorders>
              <w:top w:val="nil"/>
            </w:tcBorders>
          </w:tcPr>
          <w:p w:rsidR="00585553" w:rsidRPr="00240238" w:rsidRDefault="00585553" w:rsidP="00792940">
            <w:pPr>
              <w:tabs>
                <w:tab w:val="right" w:pos="7164"/>
              </w:tabs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Покупатель: Министерство здравоохранения Кыргызской Республики </w:t>
            </w:r>
          </w:p>
          <w:p w:rsidR="00585553" w:rsidRPr="00240238" w:rsidRDefault="00585553" w:rsidP="00792940">
            <w:pPr>
              <w:tabs>
                <w:tab w:val="right" w:pos="7164"/>
              </w:tabs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от имени и по поручению которого выступает</w:t>
            </w:r>
            <w:r w:rsidRPr="009024E1">
              <w:rPr>
                <w:rFonts w:eastAsia="TimesNewRoman,Italic" w:cs="Calibri"/>
              </w:rPr>
              <w:t xml:space="preserve"> </w:t>
            </w:r>
            <w:r w:rsidRPr="00240238">
              <w:rPr>
                <w:rFonts w:cs="Calibri"/>
              </w:rPr>
              <w:t>Поверенный:</w:t>
            </w:r>
            <w:r w:rsidRPr="009024E1">
              <w:rPr>
                <w:rFonts w:eastAsia="TimesNewRoman,Italic" w:cs="Calibri"/>
              </w:rPr>
              <w:t xml:space="preserve"> Фонд по профилактике и борьбе со СПИДом и другими инфекционными заболеваниями "СПИД Инфосвязь"</w:t>
            </w:r>
            <w:r w:rsidRPr="00240238">
              <w:rPr>
                <w:rFonts w:cs="Calibri"/>
              </w:rPr>
              <w:t xml:space="preserve"> (Российская Федерация), действующий на основании Соглашения о реализации частей 1 и 3 проекта «Караван здоровья (Кыргызская Республика)»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1.1(o)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rPr>
                <w:rFonts w:cs="Calibri"/>
              </w:rPr>
            </w:pPr>
            <w:r w:rsidRPr="00240238">
              <w:rPr>
                <w:rFonts w:cs="Calibri"/>
              </w:rPr>
              <w:t xml:space="preserve">Пункты конечного назначения (Получатели): </w:t>
            </w:r>
          </w:p>
          <w:p w:rsidR="00585553" w:rsidRPr="009024E1" w:rsidRDefault="00585553" w:rsidP="00C24E15">
            <w:pPr>
              <w:numPr>
                <w:ilvl w:val="0"/>
                <w:numId w:val="14"/>
              </w:numPr>
              <w:ind w:left="723" w:hanging="284"/>
              <w:contextualSpacing/>
              <w:jc w:val="both"/>
              <w:rPr>
                <w:rFonts w:cs="Calibri"/>
                <w:snapToGrid w:val="0"/>
              </w:rPr>
            </w:pPr>
            <w:r w:rsidRPr="009024E1">
              <w:rPr>
                <w:rFonts w:cs="Calibri"/>
                <w:snapToGrid w:val="0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585553" w:rsidRPr="00240238" w:rsidRDefault="00585553" w:rsidP="00C24E15">
            <w:pPr>
              <w:numPr>
                <w:ilvl w:val="0"/>
                <w:numId w:val="1"/>
              </w:numPr>
              <w:contextualSpacing/>
              <w:jc w:val="both"/>
              <w:rPr>
                <w:rFonts w:cs="Calibri"/>
                <w:snapToGrid w:val="0"/>
              </w:rPr>
            </w:pPr>
            <w:r w:rsidRPr="00240238">
              <w:rPr>
                <w:rFonts w:cs="Calibri"/>
                <w:snapToGrid w:val="0"/>
              </w:rPr>
              <w:t>Жалал-Абадская областная клиническая больница (в дальнейшем ЖАОКБ). г.Жалал-Абад. 720901, Кыргызская Республика, г.Жалал-Абад ул. Пушкина 91.</w:t>
            </w:r>
          </w:p>
          <w:p w:rsidR="00585553" w:rsidRPr="00240238" w:rsidRDefault="00585553" w:rsidP="005141A6">
            <w:pPr>
              <w:shd w:val="clear" w:color="auto" w:fill="FFFFFF"/>
              <w:tabs>
                <w:tab w:val="left" w:pos="0"/>
                <w:tab w:val="left" w:pos="456"/>
              </w:tabs>
              <w:suppressAutoHyphens/>
              <w:spacing w:before="120" w:after="120"/>
              <w:ind w:right="19"/>
              <w:jc w:val="both"/>
            </w:pPr>
            <w:r w:rsidRPr="00240238">
              <w:rPr>
                <w:spacing w:val="4"/>
              </w:rPr>
              <w:t xml:space="preserve">Правоотношения Покупателя и Поверенного, в том числе относительно Товаров, </w:t>
            </w:r>
            <w:r w:rsidRPr="00240238">
              <w:t xml:space="preserve">поставляемых по настоящему Контракту, регулируются </w:t>
            </w:r>
            <w:r w:rsidRPr="00240238">
              <w:rPr>
                <w:rFonts w:cs="Calibri"/>
              </w:rPr>
              <w:t>Соглашением о реализации частей 1 и 3 проекта «Караван здоровья (Кыргызская Республика)»</w:t>
            </w:r>
            <w:r w:rsidRPr="00240238">
              <w:t xml:space="preserve">. </w:t>
            </w:r>
          </w:p>
          <w:p w:rsidR="00585553" w:rsidRPr="00240238" w:rsidRDefault="00585553" w:rsidP="005141A6">
            <w:pPr>
              <w:shd w:val="clear" w:color="auto" w:fill="FFFFFF"/>
              <w:tabs>
                <w:tab w:val="left" w:pos="0"/>
                <w:tab w:val="left" w:pos="456"/>
              </w:tabs>
              <w:suppressAutoHyphens/>
              <w:spacing w:before="120" w:after="120"/>
              <w:ind w:right="19"/>
              <w:jc w:val="both"/>
            </w:pPr>
            <w:r w:rsidRPr="00240238">
              <w:rPr>
                <w:rFonts w:cs="Calibri"/>
              </w:rPr>
              <w:t>Покупатель настоящим контрактом уполномочивает указанных выше Получателей и Поверенного на совершение действий по приемке товара Покупателя в порядке, установленном настоящим контрактом, на подписание Актов приема-передачи Товаров (далее АКТЫ), товарных/товарно-транспортных, транспортных накладных и актов по установлению расхождений по количеству и качеству.</w:t>
            </w:r>
          </w:p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4.2 (а)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Торговые термины имеют значения, указанные в Incoterms. 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4.2 (b)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>Издание Incoterms 2010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5.1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>Язык  английский/русский</w:t>
            </w:r>
          </w:p>
        </w:tc>
      </w:tr>
      <w:tr w:rsidR="00585553" w:rsidRPr="00240238" w:rsidTr="00EF0B14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8.1</w:t>
            </w:r>
          </w:p>
        </w:tc>
        <w:tc>
          <w:tcPr>
            <w:tcW w:w="7548" w:type="dxa"/>
          </w:tcPr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</w:rPr>
            </w:pPr>
            <w:r w:rsidRPr="00240238">
              <w:rPr>
                <w:rFonts w:cs="Calibri"/>
              </w:rPr>
              <w:t xml:space="preserve">Адрес Покупателя для </w:t>
            </w:r>
            <w:r w:rsidRPr="00240238">
              <w:rPr>
                <w:rFonts w:cs="Calibri"/>
                <w:u w:val="single"/>
              </w:rPr>
              <w:t>уведомлений</w:t>
            </w:r>
            <w:r w:rsidRPr="00240238">
              <w:rPr>
                <w:rFonts w:cs="Calibri"/>
              </w:rPr>
              <w:t>:</w:t>
            </w:r>
          </w:p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  <w:i/>
              </w:rPr>
            </w:pPr>
            <w:r w:rsidRPr="00240238">
              <w:rPr>
                <w:rFonts w:cs="Calibri"/>
              </w:rPr>
              <w:t xml:space="preserve">Кому: </w:t>
            </w:r>
            <w:r w:rsidRPr="00240238">
              <w:rPr>
                <w:rFonts w:cs="Calibri"/>
                <w:i/>
              </w:rPr>
              <w:t>Ирина Костецкая</w:t>
            </w:r>
          </w:p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  <w:i/>
              </w:rPr>
            </w:pPr>
            <w:r w:rsidRPr="00762456">
              <w:rPr>
                <w:rFonts w:cs="Calibri"/>
                <w:iCs/>
              </w:rPr>
              <w:t>Адрес:</w:t>
            </w:r>
            <w:r w:rsidRPr="00240238">
              <w:rPr>
                <w:rFonts w:cs="Calibri"/>
                <w:i/>
              </w:rPr>
              <w:t xml:space="preserve"> ул.Южнобутовская д.77, офис 350</w:t>
            </w:r>
          </w:p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  <w:i/>
              </w:rPr>
            </w:pPr>
            <w:r w:rsidRPr="00762456">
              <w:rPr>
                <w:rFonts w:cs="Calibri"/>
                <w:iCs/>
              </w:rPr>
              <w:t>Город:</w:t>
            </w:r>
            <w:r w:rsidRPr="00240238">
              <w:rPr>
                <w:rFonts w:cs="Calibri"/>
                <w:i/>
              </w:rPr>
              <w:t xml:space="preserve"> г.Москва,</w:t>
            </w:r>
          </w:p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  <w:i/>
              </w:rPr>
            </w:pPr>
            <w:r w:rsidRPr="00762456">
              <w:rPr>
                <w:rFonts w:cs="Calibri"/>
                <w:iCs/>
              </w:rPr>
              <w:t>Страна:</w:t>
            </w:r>
            <w:r w:rsidRPr="00240238">
              <w:rPr>
                <w:rFonts w:cs="Calibri"/>
                <w:i/>
              </w:rPr>
              <w:t xml:space="preserve"> Российская Федерация</w:t>
            </w:r>
          </w:p>
          <w:p w:rsidR="00585553" w:rsidRPr="00240238" w:rsidRDefault="00585553" w:rsidP="00757E14">
            <w:pPr>
              <w:tabs>
                <w:tab w:val="right" w:pos="7164"/>
              </w:tabs>
              <w:rPr>
                <w:rFonts w:cs="Calibri"/>
                <w:i/>
              </w:rPr>
            </w:pPr>
            <w:r w:rsidRPr="00762456">
              <w:rPr>
                <w:rFonts w:cs="Calibri"/>
                <w:iCs/>
              </w:rPr>
              <w:t>Почтовый индекс:</w:t>
            </w:r>
            <w:r w:rsidRPr="00240238">
              <w:rPr>
                <w:rFonts w:cs="Calibri"/>
                <w:i/>
              </w:rPr>
              <w:t xml:space="preserve"> 117042,</w:t>
            </w:r>
          </w:p>
          <w:p w:rsidR="00585553" w:rsidRPr="00DA421F" w:rsidRDefault="00585553" w:rsidP="00757E14">
            <w:pPr>
              <w:tabs>
                <w:tab w:val="right" w:pos="7164"/>
              </w:tabs>
              <w:rPr>
                <w:rFonts w:cs="Calibri"/>
              </w:rPr>
            </w:pPr>
            <w:r w:rsidRPr="00240238">
              <w:rPr>
                <w:rFonts w:cs="Calibri"/>
              </w:rPr>
              <w:t>Тел</w:t>
            </w:r>
            <w:r w:rsidRPr="00DA421F">
              <w:rPr>
                <w:rFonts w:cs="Calibri"/>
              </w:rPr>
              <w:t>: +7-495-714-66-54</w:t>
            </w:r>
          </w:p>
          <w:p w:rsidR="00585553" w:rsidRPr="00DA421F" w:rsidRDefault="00585553" w:rsidP="00757E14">
            <w:pPr>
              <w:tabs>
                <w:tab w:val="right" w:pos="7164"/>
              </w:tabs>
              <w:rPr>
                <w:rFonts w:cs="Calibri"/>
              </w:rPr>
            </w:pPr>
            <w:r w:rsidRPr="00240238">
              <w:rPr>
                <w:rFonts w:cs="Calibri"/>
                <w:lang w:val="en-US"/>
              </w:rPr>
              <w:t>E</w:t>
            </w:r>
            <w:r w:rsidRPr="00DA421F">
              <w:rPr>
                <w:rFonts w:cs="Calibri"/>
              </w:rPr>
              <w:t>-</w:t>
            </w:r>
            <w:r w:rsidRPr="00762456">
              <w:rPr>
                <w:rFonts w:cs="Calibri"/>
                <w:lang w:val="en-US"/>
              </w:rPr>
              <w:t>mail</w:t>
            </w:r>
            <w:r w:rsidRPr="00DA421F">
              <w:rPr>
                <w:rFonts w:cs="Calibri"/>
              </w:rPr>
              <w:t xml:space="preserve">: </w:t>
            </w:r>
            <w:r w:rsidRPr="00762456">
              <w:rPr>
                <w:rFonts w:cs="Calibri"/>
                <w:lang w:val="en-US"/>
              </w:rPr>
              <w:t>healthcarecaravan</w:t>
            </w:r>
            <w:r w:rsidRPr="00DA421F">
              <w:rPr>
                <w:rFonts w:cs="Calibri"/>
              </w:rPr>
              <w:t>@</w:t>
            </w:r>
            <w:r w:rsidRPr="00762456">
              <w:rPr>
                <w:rFonts w:cs="Calibri"/>
                <w:lang w:val="en-US"/>
              </w:rPr>
              <w:t>inbox</w:t>
            </w:r>
            <w:r w:rsidRPr="00DA421F">
              <w:rPr>
                <w:rFonts w:cs="Calibri"/>
              </w:rPr>
              <w:t>.</w:t>
            </w:r>
            <w:r w:rsidRPr="00762456">
              <w:rPr>
                <w:rFonts w:cs="Calibri"/>
                <w:lang w:val="en-US"/>
              </w:rPr>
              <w:t>ru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9.1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Регулирующим является законодательство </w:t>
            </w:r>
            <w:r w:rsidRPr="00240238">
              <w:rPr>
                <w:rFonts w:cs="Calibri"/>
                <w:iCs/>
              </w:rPr>
              <w:t>Российской Федерации</w:t>
            </w:r>
          </w:p>
        </w:tc>
      </w:tr>
      <w:tr w:rsidR="00585553" w:rsidRPr="00240238" w:rsidTr="002E3EE0"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10.2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suppressAutoHyphens/>
              <w:spacing w:after="200"/>
              <w:ind w:left="533" w:firstLine="7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Регламент арбитражного разбирательства в соответствии с ОУК п. 10.2:</w:t>
            </w:r>
          </w:p>
          <w:p w:rsidR="00585553" w:rsidRPr="00240238" w:rsidRDefault="00585553" w:rsidP="005141A6">
            <w:pPr>
              <w:suppressAutoHyphens/>
              <w:spacing w:after="200"/>
              <w:ind w:left="1080" w:firstLine="7"/>
              <w:jc w:val="both"/>
              <w:rPr>
                <w:rFonts w:cs="Calibri"/>
              </w:rPr>
            </w:pPr>
            <w:r w:rsidRPr="00240238" w:rsidDel="001544AB">
              <w:rPr>
                <w:rFonts w:cs="Calibri"/>
                <w:i/>
              </w:rPr>
              <w:t xml:space="preserve"> </w:t>
            </w:r>
            <w:r w:rsidRPr="00240238">
              <w:rPr>
                <w:rFonts w:cs="Calibri"/>
                <w:i/>
              </w:rPr>
              <w:t>Пункт 10.2 (a) остается в случае заключения Контракта с иностранным Поставщиком, а пункт 10.2 (b) остается в случае заключения Контракта с Поставщиком, являющимся подданным страны Покупателя.</w:t>
            </w:r>
          </w:p>
          <w:p w:rsidR="00585553" w:rsidRPr="00240238" w:rsidRDefault="00585553" w:rsidP="005141A6">
            <w:pPr>
              <w:tabs>
                <w:tab w:val="left" w:pos="1080"/>
              </w:tabs>
              <w:suppressAutoHyphens/>
              <w:spacing w:after="200"/>
              <w:ind w:left="533" w:firstLine="7"/>
              <w:jc w:val="both"/>
              <w:rPr>
                <w:rFonts w:cs="Calibri"/>
                <w:b/>
                <w:i/>
              </w:rPr>
            </w:pPr>
            <w:r w:rsidRPr="00240238">
              <w:rPr>
                <w:rFonts w:cs="Calibri"/>
                <w:b/>
                <w:i/>
              </w:rPr>
              <w:t>(а)</w:t>
            </w:r>
            <w:r w:rsidRPr="00240238">
              <w:rPr>
                <w:rFonts w:cs="Calibri"/>
                <w:b/>
                <w:i/>
              </w:rPr>
              <w:tab/>
              <w:t>Контракт с иностранным Поставщиком:</w:t>
            </w:r>
          </w:p>
          <w:p w:rsidR="00585553" w:rsidRPr="00240238" w:rsidRDefault="00585553" w:rsidP="008D2E92">
            <w:pPr>
              <w:tabs>
                <w:tab w:val="left" w:pos="1029"/>
                <w:tab w:val="left" w:pos="1080"/>
              </w:tabs>
              <w:suppressAutoHyphens/>
              <w:spacing w:after="200"/>
              <w:ind w:left="1029"/>
              <w:jc w:val="both"/>
              <w:rPr>
                <w:rFonts w:cs="Calibri"/>
                <w:b/>
                <w:bCs/>
                <w:i/>
                <w:iCs/>
              </w:rPr>
            </w:pPr>
            <w:r w:rsidRPr="00240238">
              <w:rPr>
                <w:rFonts w:cs="Calibri"/>
                <w:b/>
                <w:bCs/>
                <w:i/>
                <w:iCs/>
              </w:rPr>
              <w:t>Если покупатель выбирает Арбитражный регламент ЮНСИТРАЛ, следует включить следующее примерное положение:</w:t>
            </w:r>
          </w:p>
          <w:p w:rsidR="00585553" w:rsidRPr="00240238" w:rsidRDefault="00585553" w:rsidP="005141A6">
            <w:pPr>
              <w:spacing w:after="200"/>
              <w:ind w:left="108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ОУК 10.2 (a) Любой спор, разногласие или претензия, вытекающие из или имеющие отношение к настоящему Контракту, его нарушению, расторжению или недействительности должны быть урегулированы в ходе арбитражного разбирательства в соответствии с Арбитражным регламентом ЮНСИТРАЛ, действующим на данный момент.</w:t>
            </w:r>
          </w:p>
          <w:p w:rsidR="00585553" w:rsidRPr="00240238" w:rsidRDefault="00585553" w:rsidP="005141A6">
            <w:pPr>
              <w:spacing w:after="200"/>
              <w:ind w:left="1080"/>
              <w:jc w:val="both"/>
              <w:rPr>
                <w:rFonts w:cs="Calibri"/>
                <w:b/>
                <w:i/>
              </w:rPr>
            </w:pPr>
            <w:r w:rsidRPr="00240238">
              <w:rPr>
                <w:rFonts w:cs="Calibri"/>
                <w:b/>
                <w:i/>
              </w:rPr>
              <w:t>Если Покупатель выберет Регламент МТТ, необходимо вставить следующее предложение:</w:t>
            </w:r>
          </w:p>
          <w:p w:rsidR="00585553" w:rsidRPr="00240238" w:rsidRDefault="00585553" w:rsidP="005141A6">
            <w:pPr>
              <w:spacing w:after="200"/>
              <w:ind w:left="108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ОУК 10.2 (a) Все споры, возникающие в связи с настоящим Контрактом, должны быть окончательно урегулированы в соответствии с Правилами примирения и арбитража Международной торговой палаты одним или несколькими арбитрами, назначенными в соответствии с указанным Регламентом. </w:t>
            </w:r>
          </w:p>
          <w:p w:rsidR="00585553" w:rsidRPr="00240238" w:rsidRDefault="00585553" w:rsidP="005141A6">
            <w:pPr>
              <w:tabs>
                <w:tab w:val="left" w:pos="1080"/>
              </w:tabs>
              <w:suppressAutoHyphens/>
              <w:spacing w:after="200"/>
              <w:ind w:left="1080" w:hanging="540"/>
              <w:jc w:val="both"/>
              <w:rPr>
                <w:rFonts w:cs="Calibri"/>
              </w:rPr>
            </w:pPr>
            <w:r w:rsidRPr="00240238" w:rsidDel="001544AB">
              <w:rPr>
                <w:rFonts w:cs="Calibri"/>
                <w:b/>
                <w:i/>
              </w:rPr>
              <w:t xml:space="preserve"> </w:t>
            </w:r>
            <w:r w:rsidRPr="00240238">
              <w:rPr>
                <w:rFonts w:cs="Calibri"/>
                <w:b/>
                <w:i/>
              </w:rPr>
              <w:t>(b)</w:t>
            </w:r>
            <w:r w:rsidRPr="00240238">
              <w:rPr>
                <w:rFonts w:cs="Calibri"/>
                <w:b/>
                <w:i/>
              </w:rPr>
              <w:tab/>
              <w:t>Контракты с Поставщиком, являющимся подданным страны Покупателя:</w:t>
            </w:r>
          </w:p>
          <w:p w:rsidR="00585553" w:rsidRPr="00240238" w:rsidRDefault="00585553" w:rsidP="005141A6">
            <w:pPr>
              <w:suppressAutoHyphens/>
              <w:spacing w:after="200"/>
              <w:ind w:left="1080" w:firstLine="7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В случае возникновения спора между Покупателем и Поставщиком, являющимся подданным страны Покупателя, спор должен быть передан на судебное или арбитражное рассмотрение в соответствии с законодательством страны Покупателя. Применимым законодательством Стороны установили законодательство страны Покупателя.</w:t>
            </w:r>
          </w:p>
        </w:tc>
      </w:tr>
      <w:tr w:rsidR="00585553" w:rsidRPr="00240238" w:rsidTr="001A616A"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13.1</w:t>
            </w: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5141A6">
            <w:pPr>
              <w:spacing w:line="276" w:lineRule="auto"/>
              <w:ind w:firstLine="709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Товаросопроводительные и иные документы, предоставляемые Поставщиком (в отношении каждой части Товара, адресованной одному из Получателей, отдельно):</w:t>
            </w:r>
          </w:p>
          <w:p w:rsidR="00585553" w:rsidRPr="00240238" w:rsidRDefault="00585553" w:rsidP="008D2E92">
            <w:pPr>
              <w:tabs>
                <w:tab w:val="left" w:pos="5812"/>
              </w:tabs>
              <w:spacing w:line="252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а) Либо копия регистрационного удостоверения товара, выданного Росздравнадзором (Минздравом России) на каждое медицинское изделие, входящее в комплект поставки (в том числе на передвижной медицинский комплекс на шасси транспортного средства), по товарам, подлежащим регистрации. Либо копию регистрационного удостоверения </w:t>
            </w:r>
            <w:r w:rsidRPr="00240238">
              <w:rPr>
                <w:rFonts w:cs="Calibri"/>
                <w:iCs/>
                <w:lang w:eastAsia="en-US"/>
              </w:rPr>
              <w:t>уполномоченного органа Кыргызской Республики;</w:t>
            </w:r>
          </w:p>
          <w:p w:rsidR="00585553" w:rsidRPr="00240238" w:rsidRDefault="00585553" w:rsidP="008D2E92">
            <w:pPr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б) товарная накладная, акт приема-передачи Товаров, оформленные в установленном порядке в 4 (Четырех) экземплярах: один для Поставщика, второй- для Покупателя, третий – для Поверенного, четвертый - для Получателя;</w:t>
            </w:r>
          </w:p>
          <w:p w:rsidR="00585553" w:rsidRPr="00240238" w:rsidRDefault="00585553" w:rsidP="008D2E92">
            <w:pPr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в) руководство по эксплуатации и техническому обслуживанию на Товар на русском языке;</w:t>
            </w:r>
          </w:p>
          <w:p w:rsidR="00585553" w:rsidRPr="00240238" w:rsidRDefault="00585553" w:rsidP="008D2E92">
            <w:pPr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г) комплект сопроводительной документации, необходимой для постановки Получателем автотранспортного средства на учет, в том числе:</w:t>
            </w:r>
          </w:p>
          <w:p w:rsidR="00585553" w:rsidRPr="00240238" w:rsidRDefault="00585553" w:rsidP="008D2E92">
            <w:pPr>
              <w:pStyle w:val="ListParagraph"/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- паспорт транспортного средства</w:t>
            </w:r>
          </w:p>
          <w:p w:rsidR="00585553" w:rsidRPr="00240238" w:rsidRDefault="00585553" w:rsidP="008D2E92">
            <w:pPr>
              <w:pStyle w:val="ListParagraph"/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- сервисная книжка транспортного средства с отметкой о проведении предпродажной подготовки.</w:t>
            </w:r>
          </w:p>
          <w:p w:rsidR="00585553" w:rsidRPr="00240238" w:rsidRDefault="00585553" w:rsidP="005141A6">
            <w:pPr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Указанные документы передаются каждому из Получателей при приеме-передаче Товара по Акту.</w:t>
            </w:r>
          </w:p>
          <w:p w:rsidR="00585553" w:rsidRPr="00240238" w:rsidRDefault="00585553" w:rsidP="005D5EB8">
            <w:pPr>
              <w:spacing w:line="276" w:lineRule="auto"/>
              <w:ind w:firstLine="709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Товар должен быть поставлен в </w:t>
            </w:r>
            <w:r w:rsidRPr="00240238">
              <w:rPr>
                <w:rFonts w:cs="Calibri"/>
                <w:u w:val="single"/>
              </w:rPr>
              <w:t>течение 120 (Ста двадцати</w:t>
            </w:r>
            <w:r w:rsidRPr="00240238">
              <w:rPr>
                <w:rFonts w:cs="Calibri"/>
              </w:rPr>
              <w:t>) календарных дней с даты заключения Контракта.</w:t>
            </w:r>
          </w:p>
          <w:p w:rsidR="00585553" w:rsidRPr="00240238" w:rsidRDefault="00585553" w:rsidP="005D5EB8">
            <w:pPr>
              <w:spacing w:line="276" w:lineRule="auto"/>
              <w:ind w:right="-1" w:firstLine="709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Срок поставки Товара считается исполненным обязательством Поставщика в момент подписания Получателями Акта. Подписание представителем Получателей товарной накладной и (или) транспортной накладной не является приемкой Товара Получателями.</w:t>
            </w:r>
          </w:p>
          <w:p w:rsidR="00585553" w:rsidRPr="00240238" w:rsidRDefault="00585553" w:rsidP="008D2E92">
            <w:pPr>
              <w:spacing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Право собственности на Товары переходит от Поставщика к Получателю после подписания соответствующего Акта Поставщиком и Получателем.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15.1</w:t>
            </w:r>
          </w:p>
        </w:tc>
        <w:tc>
          <w:tcPr>
            <w:tcW w:w="7548" w:type="dxa"/>
          </w:tcPr>
          <w:p w:rsidR="00585553" w:rsidRPr="00240238" w:rsidRDefault="00585553" w:rsidP="008D2E92">
            <w:pPr>
              <w:tabs>
                <w:tab w:val="right" w:pos="7164"/>
              </w:tabs>
              <w:spacing w:after="20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Цены, взимаемые за поставленные Товары и оказанные Сопутствующие услуги, </w:t>
            </w:r>
            <w:r w:rsidRPr="00240238">
              <w:rPr>
                <w:rFonts w:cs="Calibri"/>
                <w:iCs/>
              </w:rPr>
              <w:t>не подлежат</w:t>
            </w:r>
            <w:r w:rsidRPr="00240238">
              <w:rPr>
                <w:rFonts w:cs="Calibri"/>
                <w:i/>
              </w:rPr>
              <w:t xml:space="preserve"> корректировке</w:t>
            </w:r>
            <w:r w:rsidRPr="00240238">
              <w:rPr>
                <w:rFonts w:cs="Calibri"/>
              </w:rPr>
              <w:t>.</w:t>
            </w:r>
          </w:p>
        </w:tc>
      </w:tr>
      <w:tr w:rsidR="00585553" w:rsidRPr="00240238" w:rsidTr="001A616A"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16.1</w:t>
            </w:r>
          </w:p>
        </w:tc>
        <w:tc>
          <w:tcPr>
            <w:tcW w:w="7548" w:type="dxa"/>
          </w:tcPr>
          <w:p w:rsidR="00585553" w:rsidRPr="00240238" w:rsidRDefault="00585553" w:rsidP="00365A6F">
            <w:pPr>
              <w:suppressAutoHyphens/>
              <w:spacing w:after="0"/>
              <w:ind w:left="321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Способ и условия осуществления платежей Поставщику по настоящему Контракту:</w:t>
            </w:r>
          </w:p>
          <w:p w:rsidR="00585553" w:rsidRPr="00240238" w:rsidRDefault="00585553" w:rsidP="00365A6F">
            <w:pPr>
              <w:tabs>
                <w:tab w:val="left" w:pos="604"/>
                <w:tab w:val="left" w:pos="676"/>
              </w:tabs>
              <w:suppressAutoHyphens/>
              <w:spacing w:after="0"/>
              <w:ind w:left="321"/>
              <w:jc w:val="both"/>
              <w:rPr>
                <w:rFonts w:cs="Calibri"/>
                <w:spacing w:val="-3"/>
              </w:rPr>
            </w:pPr>
            <w:r w:rsidRPr="00240238">
              <w:rPr>
                <w:rFonts w:cs="Calibri"/>
                <w:i/>
                <w:spacing w:val="-3"/>
              </w:rPr>
              <w:t>Авансовый платеж: Двадцать</w:t>
            </w:r>
            <w:r w:rsidRPr="00240238">
              <w:rPr>
                <w:rFonts w:cs="Calibri"/>
                <w:spacing w:val="-3"/>
              </w:rPr>
              <w:t xml:space="preserve"> (20) процентов от цены Контракта выплачиваются в течение тридцати (30) дней со дня подписания Контракта после выставления счета и представления банковской гарантии на эквивалентную сумму, действующую до приемки товаров и составленную по форме, приемлемую для Покупателя и Поверенного;</w:t>
            </w:r>
          </w:p>
          <w:p w:rsidR="00585553" w:rsidRPr="00240238" w:rsidRDefault="00585553" w:rsidP="00365A6F">
            <w:pPr>
              <w:tabs>
                <w:tab w:val="left" w:pos="1440"/>
              </w:tabs>
              <w:suppressAutoHyphens/>
              <w:spacing w:after="0"/>
              <w:ind w:left="321"/>
              <w:jc w:val="both"/>
              <w:rPr>
                <w:rFonts w:cs="Calibri"/>
              </w:rPr>
            </w:pPr>
            <w:r w:rsidRPr="00240238">
              <w:rPr>
                <w:rFonts w:cs="Calibri"/>
                <w:i/>
                <w:spacing w:val="-3"/>
              </w:rPr>
              <w:t>По получению Товара: О</w:t>
            </w:r>
            <w:r w:rsidRPr="00240238">
              <w:rPr>
                <w:rFonts w:cs="Calibri"/>
                <w:spacing w:val="-3"/>
              </w:rPr>
              <w:t>ставшиеся Восемьдесят (80) процентов цены Контракта выплачиваются Поставщику в течение тридцати (30) дней со дня</w:t>
            </w:r>
            <w:r w:rsidRPr="0028256D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>предоставления Поставщиком Получателю документов, указанных в ОУК 13.1</w:t>
            </w:r>
            <w:r w:rsidRPr="00BC3D09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 xml:space="preserve">и </w:t>
            </w:r>
            <w:r w:rsidRPr="00240238">
              <w:rPr>
                <w:rFonts w:cs="Calibri"/>
                <w:spacing w:val="-3"/>
              </w:rPr>
              <w:t>подписания каждым Получателем и Поставщиком соответствующих</w:t>
            </w:r>
            <w:r w:rsidRPr="00240238">
              <w:t xml:space="preserve"> </w:t>
            </w:r>
            <w:r w:rsidRPr="00240238">
              <w:rPr>
                <w:rFonts w:cs="Calibri"/>
                <w:spacing w:val="-3"/>
              </w:rPr>
              <w:t>Актов приема-передачи, товарно-транспортны</w:t>
            </w:r>
            <w:r>
              <w:rPr>
                <w:rFonts w:cs="Calibri"/>
                <w:spacing w:val="-3"/>
              </w:rPr>
              <w:t>х</w:t>
            </w:r>
            <w:r w:rsidRPr="00240238">
              <w:rPr>
                <w:rFonts w:cs="Calibri"/>
                <w:spacing w:val="-3"/>
              </w:rPr>
              <w:t xml:space="preserve"> накладны</w:t>
            </w:r>
            <w:r>
              <w:rPr>
                <w:rFonts w:cs="Calibri"/>
                <w:spacing w:val="-3"/>
              </w:rPr>
              <w:t>х</w:t>
            </w:r>
            <w:r w:rsidRPr="00240238">
              <w:rPr>
                <w:rFonts w:cs="Calibri"/>
                <w:spacing w:val="-3"/>
              </w:rPr>
              <w:t>/товарны</w:t>
            </w:r>
            <w:r>
              <w:rPr>
                <w:rFonts w:cs="Calibri"/>
                <w:spacing w:val="-3"/>
              </w:rPr>
              <w:t>х</w:t>
            </w:r>
            <w:r w:rsidRPr="00240238">
              <w:rPr>
                <w:rFonts w:cs="Calibri"/>
                <w:spacing w:val="-3"/>
              </w:rPr>
              <w:t xml:space="preserve"> накладны</w:t>
            </w:r>
            <w:r>
              <w:rPr>
                <w:rFonts w:cs="Calibri"/>
                <w:spacing w:val="-3"/>
              </w:rPr>
              <w:t>х</w:t>
            </w:r>
            <w:r w:rsidRPr="00240238">
              <w:rPr>
                <w:rFonts w:cs="Calibri"/>
                <w:spacing w:val="-3"/>
              </w:rPr>
              <w:t>.</w:t>
            </w:r>
          </w:p>
        </w:tc>
      </w:tr>
      <w:tr w:rsidR="00585553" w:rsidRPr="00240238" w:rsidTr="001A616A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16.5</w:t>
            </w:r>
          </w:p>
        </w:tc>
        <w:tc>
          <w:tcPr>
            <w:tcW w:w="7548" w:type="dxa"/>
          </w:tcPr>
          <w:p w:rsidR="00585553" w:rsidRPr="00240238" w:rsidRDefault="00585553" w:rsidP="008F52B6">
            <w:pPr>
              <w:tabs>
                <w:tab w:val="right" w:pos="7164"/>
              </w:tabs>
              <w:spacing w:after="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Срок задержки платежа, по истечении которого Покупатель должен будет уплатить Поставщику проценты, составляет </w:t>
            </w:r>
            <w:r w:rsidRPr="00240238">
              <w:rPr>
                <w:rFonts w:cs="Calibri"/>
                <w:b/>
                <w:bCs/>
                <w:u w:val="single"/>
              </w:rPr>
              <w:t>60 (шестьдесят)</w:t>
            </w:r>
            <w:r w:rsidRPr="00240238">
              <w:rPr>
                <w:rFonts w:cs="Calibri"/>
                <w:u w:val="single"/>
              </w:rPr>
              <w:t xml:space="preserve"> </w:t>
            </w:r>
            <w:r w:rsidRPr="00240238">
              <w:rPr>
                <w:rFonts w:cs="Calibri"/>
              </w:rPr>
              <w:t>дней.</w:t>
            </w:r>
            <w:r w:rsidRPr="00240238">
              <w:rPr>
                <w:rFonts w:cs="Calibri"/>
                <w:i/>
              </w:rPr>
              <w:t xml:space="preserve"> </w:t>
            </w:r>
          </w:p>
          <w:p w:rsidR="00585553" w:rsidRPr="00240238" w:rsidRDefault="00585553" w:rsidP="008F52B6">
            <w:pPr>
              <w:tabs>
                <w:tab w:val="left" w:pos="1560"/>
              </w:tabs>
              <w:suppressAutoHyphens/>
              <w:spacing w:after="0"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Применимая процентная ставка устанавливается в размере 0,01% в день от цены Контракта.</w:t>
            </w:r>
          </w:p>
        </w:tc>
      </w:tr>
      <w:tr w:rsidR="00585553" w:rsidRPr="00240238" w:rsidTr="00946CF6">
        <w:trPr>
          <w:trHeight w:val="576"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18.1</w:t>
            </w:r>
          </w:p>
        </w:tc>
        <w:tc>
          <w:tcPr>
            <w:tcW w:w="7548" w:type="dxa"/>
          </w:tcPr>
          <w:p w:rsidR="00585553" w:rsidRPr="00240238" w:rsidRDefault="00585553" w:rsidP="008F52B6">
            <w:pPr>
              <w:tabs>
                <w:tab w:val="right" w:pos="7164"/>
              </w:tabs>
              <w:spacing w:after="0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Залоговое обеспечение выполнения Контракта требуется. </w:t>
            </w:r>
          </w:p>
          <w:p w:rsidR="00585553" w:rsidRPr="00240238" w:rsidRDefault="00585553" w:rsidP="008F52B6">
            <w:pPr>
              <w:tabs>
                <w:tab w:val="right" w:pos="7164"/>
              </w:tabs>
              <w:spacing w:after="0"/>
              <w:rPr>
                <w:rFonts w:cs="Calibri"/>
              </w:rPr>
            </w:pPr>
            <w:r w:rsidRPr="00240238">
              <w:rPr>
                <w:rFonts w:cs="Calibri"/>
              </w:rPr>
              <w:t>Сумма залогового обеспечения составляет 3% от Цены Контракта.</w:t>
            </w:r>
          </w:p>
        </w:tc>
      </w:tr>
      <w:tr w:rsidR="00585553" w:rsidRPr="00240238" w:rsidTr="00946CF6">
        <w:trPr>
          <w:trHeight w:val="576"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18.3</w:t>
            </w:r>
          </w:p>
        </w:tc>
        <w:tc>
          <w:tcPr>
            <w:tcW w:w="7548" w:type="dxa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>Форма залогового обеспечения: безусловная банковская гарантия.</w:t>
            </w:r>
          </w:p>
        </w:tc>
      </w:tr>
      <w:tr w:rsidR="00585553" w:rsidRPr="00240238" w:rsidTr="00946CF6">
        <w:trPr>
          <w:trHeight w:val="576"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22.1</w:t>
            </w:r>
          </w:p>
        </w:tc>
        <w:tc>
          <w:tcPr>
            <w:tcW w:w="7548" w:type="dxa"/>
          </w:tcPr>
          <w:p w:rsidR="00585553" w:rsidRPr="00240238" w:rsidRDefault="00585553" w:rsidP="008F52B6">
            <w:pPr>
              <w:spacing w:after="0" w:line="276" w:lineRule="auto"/>
              <w:ind w:firstLine="709"/>
              <w:jc w:val="both"/>
              <w:rPr>
                <w:rFonts w:cs="Calibri"/>
                <w:u w:val="single"/>
              </w:rPr>
            </w:pPr>
            <w:r w:rsidRPr="00240238">
              <w:rPr>
                <w:rFonts w:cs="Calibri"/>
              </w:rPr>
              <w:t>Качество и комплектность поставляемого Товара должны соответствовать требованиям действующей нормативно-технической документации, санитарным и иным требованиям, установленным действующим законодательством Кыргызской Республики и Российской Федерации.</w:t>
            </w:r>
          </w:p>
          <w:p w:rsidR="00585553" w:rsidRPr="00240238" w:rsidRDefault="00585553" w:rsidP="008F52B6">
            <w:pPr>
              <w:spacing w:after="0" w:line="276" w:lineRule="auto"/>
              <w:ind w:firstLine="709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Поставщик обеспечивает предпродажную подготовку Товара за свой счет в объеме, установленном заводом-изготовителем.</w:t>
            </w:r>
          </w:p>
        </w:tc>
      </w:tr>
      <w:tr w:rsidR="00585553" w:rsidRPr="00240238" w:rsidTr="000324DC">
        <w:trPr>
          <w:cantSplit/>
        </w:trPr>
        <w:tc>
          <w:tcPr>
            <w:tcW w:w="1560" w:type="dxa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23.2</w:t>
            </w: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Требования к упаковке, маркировке и документации внутри и снаружи упаковочной тары: </w:t>
            </w:r>
            <w:r w:rsidRPr="00240238">
              <w:rPr>
                <w:spacing w:val="-3"/>
              </w:rPr>
              <w:t>Поставщик должен обеспечить упаковку Товаров, способную предотвратить их повреждение или порчу во время транспортировки до пунктов конечного назначения. При определении габаритов и веса упаковочных ящиков необходимо учитывать отдаленность пунктов конечного назначения Товаров и отсутствие мощных грузоподъемных средств во всех пунктах на пути следования Товаров.</w:t>
            </w:r>
          </w:p>
        </w:tc>
      </w:tr>
      <w:tr w:rsidR="00585553" w:rsidRPr="00240238" w:rsidTr="000324DC">
        <w:trPr>
          <w:cantSplit/>
        </w:trPr>
        <w:tc>
          <w:tcPr>
            <w:tcW w:w="1560" w:type="dxa"/>
            <w:shd w:val="clear" w:color="auto" w:fill="FFFFFF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24.1</w:t>
            </w: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8A55A8">
            <w:pPr>
              <w:tabs>
                <w:tab w:val="right" w:pos="7164"/>
              </w:tabs>
              <w:spacing w:after="20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Поставляемые по Контракту Товары должны быть полностью застрахованы в долларах США на условиях «Все Риски» на сумму, эквивалентную 110% цены (CIP) Товара (вкл. страхование от утраты или повреждения, связанных с изготовлением или приобретением, транспортировкой, хранением и доставкой). Страхование осуществляется в пользу Поставщика. </w:t>
            </w:r>
          </w:p>
        </w:tc>
      </w:tr>
      <w:tr w:rsidR="00585553" w:rsidRPr="00240238" w:rsidTr="007130E7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25.1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FFFFFF"/>
          </w:tcPr>
          <w:p w:rsidR="00585553" w:rsidRPr="00240238" w:rsidRDefault="00585553" w:rsidP="00365A6F">
            <w:pPr>
              <w:spacing w:after="0"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В соответствии с Контрактом Поставщик обязан доставить Товары к указанным в </w:t>
            </w:r>
            <w:r w:rsidRPr="00240238">
              <w:rPr>
                <w:rFonts w:cs="Calibri"/>
                <w:bCs/>
              </w:rPr>
              <w:t>ОУК 1.1(o)</w:t>
            </w:r>
            <w:r w:rsidRPr="00240238">
              <w:rPr>
                <w:rFonts w:cs="Calibri"/>
              </w:rPr>
              <w:t xml:space="preserve"> местам конечного назначения в стране Покупателя. Все связанные с этим расходы, включая страхование, хранение и погрузочно-разгрузочные работы, должны быть включены в цену Контракта.</w:t>
            </w:r>
          </w:p>
          <w:p w:rsidR="00585553" w:rsidRPr="00240238" w:rsidRDefault="00585553" w:rsidP="00365A6F">
            <w:pPr>
              <w:spacing w:after="0"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Подъем, спуск и перемещение Товара осуществляется Поставщиком.</w:t>
            </w:r>
          </w:p>
          <w:p w:rsidR="00585553" w:rsidRPr="00240238" w:rsidRDefault="00585553" w:rsidP="00365A6F">
            <w:pPr>
              <w:spacing w:after="0" w:line="276" w:lineRule="auto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Поставщик уведомляет Получателей и Агента о готовности доставки и времени доставки по электронной почте не менее чем за 14 дней до даты доставки.</w:t>
            </w:r>
          </w:p>
          <w:p w:rsidR="00585553" w:rsidRPr="00240238" w:rsidRDefault="00585553" w:rsidP="00904A7A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</w:p>
        </w:tc>
      </w:tr>
      <w:tr w:rsidR="00585553" w:rsidRPr="002E5EE5" w:rsidTr="002E5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3" w:rsidRPr="00240238" w:rsidRDefault="00585553" w:rsidP="005141A6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26.1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Необходимо провести следующие проверки и испытания:</w:t>
            </w:r>
          </w:p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Получатели в течение 5 (Пяти) рабочих дней после даты получения от Поставщика Товаров и документов, указанных в ОУК 13.1, проводят приемку, проверку поставленного Товара в части его соответствия условиям контракта.</w:t>
            </w:r>
          </w:p>
          <w:p w:rsidR="00585553" w:rsidRPr="004F628B" w:rsidRDefault="00585553" w:rsidP="004F628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В течение 3 (трех) рабочих дней после проведения проверки в случае выявления каких-либо несоответствий Техническому заданию  Получатели направляют Поставщику запрос о представлении разъяснений касательно поставленного Товара, или мотивированный отказ от принятия поставленного Товара с перечнем выявленных недостатков, необходимых доработок и сроков их устранения.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85553" w:rsidRPr="00AD5494" w:rsidRDefault="00585553" w:rsidP="00560BC1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Запрос должен содержать подтверждение</w:t>
            </w:r>
            <w:r w:rsidRPr="002E5EE5">
              <w:rPr>
                <w:rStyle w:val="apple-converted-space"/>
                <w:rFonts w:ascii="Calibri" w:hAnsi="Calibri" w:cs="Calibri"/>
              </w:rPr>
              <w:t xml:space="preserve"> соответствующих 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несоответствий</w:t>
            </w:r>
            <w:r w:rsidRPr="002E5EE5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техническому заданию, а также негативные результаты тестирования соответствующих Товар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. По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лучатели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Поставщик подписывают соответствующий акт, на основании которого Поставщик устраняет указанные несоответствия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недостатки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D54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После устранения выявленных недостатков Поставщик приступает к испытаниям и вводу в эксплуатацию Товара.</w:t>
            </w:r>
          </w:p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В случае если запрос не поступил в течение обозначенного выше срока, Поставщик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сразу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приступает к испытаниям и вводу в эксплуатацию Товара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Если Поставщик является Производителем поставляемого Товара, то подтверждением необходимой квалификации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представителя Поставщика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будет копия лицензии Производителя и официальное письмо-уведомление, содержащее информацию о конкретном специалисте /</w:t>
            </w:r>
            <w:bookmarkStart w:id="0" w:name="mailruanchor__GoBack"/>
            <w:bookmarkEnd w:id="0"/>
            <w:r w:rsidRPr="002E5EE5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специалистах, уполномоченных выполнять вышеуказанные действия.</w:t>
            </w:r>
          </w:p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Если Поставщик не является Производителем Товара, то подтверждением необходимой квалификации будет копия контракта с Производителем Товара на предоставление вышеуказанных услуг по вводу в эксплуатацию, с копией лицензии производителя и официальным письмом с уведомлением, содержащим информацию о конкретном специалисте / специалистах, уполномоченном осуществлять вышеуказанные действия.</w:t>
            </w:r>
          </w:p>
          <w:p w:rsidR="00585553" w:rsidRPr="002E5EE5" w:rsidRDefault="00585553" w:rsidP="00384989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После</w:t>
            </w:r>
            <w:r w:rsidRPr="002E5EE5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E5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приема-передачи  и</w:t>
            </w:r>
            <w:r w:rsidRPr="002E5EE5">
              <w:rPr>
                <w:rStyle w:val="apple-converted-space"/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 xml:space="preserve">  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ввода в эксплуатацию Товара По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лучатели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и Поставщик подписывают Акт</w:t>
            </w:r>
            <w:r w:rsidRPr="002E5EE5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E5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приема-передачи и ввода</w:t>
            </w:r>
            <w:r w:rsidRPr="002E5EE5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2E5E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в эксплуатацию Товар</w:t>
            </w:r>
            <w:r w:rsidRPr="002E5EE5">
              <w:rPr>
                <w:rStyle w:val="apple-converted-space"/>
                <w:rFonts w:ascii="Calibri" w:hAnsi="Calibri" w:cs="Calibri"/>
              </w:rPr>
              <w:t>а.</w:t>
            </w:r>
          </w:p>
          <w:p w:rsidR="00585553" w:rsidRPr="002E5EE5" w:rsidRDefault="00585553" w:rsidP="00192CDB">
            <w:pPr>
              <w:pStyle w:val="msonormalmrcssattr"/>
              <w:shd w:val="clear" w:color="auto" w:fill="FFFFFF"/>
              <w:spacing w:line="259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Акт должен содержать подтверждение а)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5EE5">
              <w:rPr>
                <w:rFonts w:ascii="Calibri" w:hAnsi="Calibri" w:cs="Calibri"/>
                <w:color w:val="000000"/>
                <w:sz w:val="22"/>
                <w:szCs w:val="22"/>
              </w:rPr>
              <w:t>соответствия по каждому пункту  технического задания, б)положительных результатов на работоспособность, в) факта ввода в эксплуатацию Товара.</w:t>
            </w:r>
          </w:p>
          <w:p w:rsidR="00585553" w:rsidRPr="002E5EE5" w:rsidRDefault="00585553" w:rsidP="00713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585553" w:rsidRPr="00240238" w:rsidTr="007130E7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85553" w:rsidRPr="00240238" w:rsidRDefault="00585553" w:rsidP="005141A6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26.2</w:t>
            </w:r>
          </w:p>
        </w:tc>
        <w:tc>
          <w:tcPr>
            <w:tcW w:w="7548" w:type="dxa"/>
            <w:tcBorders>
              <w:top w:val="single" w:sz="4" w:space="0" w:color="auto"/>
            </w:tcBorders>
            <w:shd w:val="clear" w:color="auto" w:fill="FFFFFF"/>
          </w:tcPr>
          <w:p w:rsidR="00585553" w:rsidRPr="00240238" w:rsidRDefault="00585553" w:rsidP="005141A6">
            <w:pPr>
              <w:tabs>
                <w:tab w:val="right" w:pos="7164"/>
              </w:tabs>
              <w:spacing w:after="200"/>
              <w:rPr>
                <w:rFonts w:cs="Calibri"/>
              </w:rPr>
            </w:pPr>
            <w:r w:rsidRPr="00240238">
              <w:rPr>
                <w:rFonts w:cs="Calibri"/>
              </w:rPr>
              <w:t>Проверки и испытания должны быть проведены в пунктах конечного назначения, указанных в ОУК 1.1(о)</w:t>
            </w:r>
          </w:p>
        </w:tc>
      </w:tr>
      <w:tr w:rsidR="00585553" w:rsidRPr="00240238" w:rsidTr="009A1F35">
        <w:trPr>
          <w:cantSplit/>
          <w:trHeight w:val="6784"/>
        </w:trPr>
        <w:tc>
          <w:tcPr>
            <w:tcW w:w="1560" w:type="dxa"/>
            <w:shd w:val="clear" w:color="auto" w:fill="FFFFFF"/>
          </w:tcPr>
          <w:p w:rsidR="00585553" w:rsidRPr="00240238" w:rsidRDefault="00585553" w:rsidP="005141A6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26.7</w:t>
            </w: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4412B2">
            <w:pPr>
              <w:tabs>
                <w:tab w:val="right" w:pos="7164"/>
              </w:tabs>
              <w:spacing w:after="20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а)В случае получения от Получателей запроса о представлении разъяснений касательно поставленного Товара или мотивированного отказа от принятия поставленного Товара, Поставщик в течение 3 (трех) рабочих дней обязан представить Получателям запрашиваемые разъяснения в отношении поставленного Товара или в течение 15 (пятнадцати) рабочих дней устранить выявленные недостатки, произвести доработки и передать Получателям доработанный в соответствии с предъявляемыми требованиями/замечаниями поставленный Товар и отчет об устранении, выявленных Получателями недостатков.</w:t>
            </w:r>
          </w:p>
          <w:p w:rsidR="00585553" w:rsidRPr="00240238" w:rsidRDefault="00585553" w:rsidP="00762456">
            <w:pPr>
              <w:pStyle w:val="ListParagraph"/>
              <w:spacing w:after="0" w:line="276" w:lineRule="auto"/>
              <w:ind w:left="0"/>
              <w:jc w:val="both"/>
            </w:pPr>
            <w:r w:rsidRPr="00240238">
              <w:rPr>
                <w:rFonts w:cs="Calibri"/>
              </w:rPr>
              <w:t>б) В случае если по результатам рассмотрения отчета об устранении выявленных недостатков Получателями будет принято решение об устранении Поставщиком выявленных недостатков в надлежащем порядке и в установленные сроки, а также в случае отсутствия у Получателей запросов касательно представления разъяснений в отношении поставленного Товара Получатели принимает поставленный Товар и подписывает Акт.</w:t>
            </w:r>
            <w:r w:rsidRPr="00240238">
              <w:t xml:space="preserve"> </w:t>
            </w:r>
          </w:p>
          <w:p w:rsidR="00585553" w:rsidRPr="00240238" w:rsidRDefault="00585553" w:rsidP="00762456">
            <w:pPr>
              <w:pStyle w:val="ListParagraph"/>
              <w:spacing w:before="240" w:after="0" w:line="276" w:lineRule="auto"/>
              <w:ind w:left="0"/>
              <w:contextualSpacing w:val="0"/>
              <w:jc w:val="both"/>
              <w:rPr>
                <w:rFonts w:cs="Calibri"/>
              </w:rPr>
            </w:pPr>
            <w:r w:rsidRPr="00240238">
              <w:t>с) В случае, если при рассмотрении отчета об устранении выявленных недостатков Получателями не будут сняты ранее предъявленные претензии, Товар считается не принятыми, о чем Поставщик уведомляется в письменной форме.</w:t>
            </w:r>
          </w:p>
        </w:tc>
      </w:tr>
      <w:tr w:rsidR="00585553" w:rsidRPr="00240238" w:rsidTr="008D2E92">
        <w:trPr>
          <w:cantSplit/>
          <w:trHeight w:val="2436"/>
        </w:trPr>
        <w:tc>
          <w:tcPr>
            <w:tcW w:w="1560" w:type="dxa"/>
          </w:tcPr>
          <w:p w:rsidR="00585553" w:rsidRPr="00240238" w:rsidRDefault="00585553" w:rsidP="00A80C4D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27.1</w:t>
            </w:r>
          </w:p>
          <w:p w:rsidR="00585553" w:rsidRPr="00240238" w:rsidRDefault="00585553" w:rsidP="00A80C4D">
            <w:pPr>
              <w:spacing w:after="200"/>
              <w:rPr>
                <w:rFonts w:cs="Calibri"/>
              </w:rPr>
            </w:pP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8F52B6">
            <w:pPr>
              <w:spacing w:after="0"/>
              <w:jc w:val="both"/>
              <w:rPr>
                <w:rFonts w:cs="Calibri"/>
              </w:rPr>
            </w:pPr>
            <w:r w:rsidRPr="00240238">
              <w:rPr>
                <w:spacing w:val="-3"/>
                <w:lang w:eastAsia="ar-SA"/>
              </w:rPr>
              <w:t xml:space="preserve">В случае нарушения Поставщиком обязательств по поставке части или всего объема Товаров в сроки, предусмотренные п. 13.2 СУК. Контракта, </w:t>
            </w:r>
            <w:r w:rsidRPr="00240238">
              <w:rPr>
                <w:rFonts w:cs="Calibri"/>
              </w:rPr>
              <w:t xml:space="preserve">а также в иных случаях неисполнения или ненадлежащего исполнения Поставщиком обязательств, предусмотренных Контрактом, </w:t>
            </w:r>
            <w:r w:rsidRPr="00240238">
              <w:rPr>
                <w:spacing w:val="-3"/>
                <w:lang w:eastAsia="ar-SA"/>
              </w:rPr>
              <w:t>Покупатель имеет право взыскать с Поставщика неустойку в размере</w:t>
            </w:r>
            <w:r w:rsidRPr="00240238">
              <w:rPr>
                <w:rFonts w:cs="Calibri"/>
              </w:rPr>
              <w:t xml:space="preserve"> 0,5% от цены Контракта в неделю.</w:t>
            </w:r>
          </w:p>
          <w:p w:rsidR="00585553" w:rsidRPr="00240238" w:rsidRDefault="00585553" w:rsidP="008F52B6">
            <w:pPr>
              <w:tabs>
                <w:tab w:val="right" w:pos="7164"/>
              </w:tabs>
              <w:spacing w:after="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Штрафные санкции не применяются при отсутствии вины поставщика в нарушении срока.</w:t>
            </w:r>
          </w:p>
          <w:p w:rsidR="00585553" w:rsidRPr="00240238" w:rsidRDefault="00585553" w:rsidP="008F52B6">
            <w:pPr>
              <w:suppressAutoHyphens/>
              <w:spacing w:after="0"/>
              <w:rPr>
                <w:rFonts w:cs="Calibri"/>
              </w:rPr>
            </w:pPr>
            <w:r w:rsidRPr="00240238">
              <w:rPr>
                <w:rFonts w:cs="Calibri"/>
              </w:rPr>
              <w:t>Максимальная сумма неустойки составляет 10</w:t>
            </w:r>
            <w:r w:rsidRPr="00240238">
              <w:rPr>
                <w:spacing w:val="-3"/>
                <w:lang w:eastAsia="ar-SA"/>
              </w:rPr>
              <w:t>0% от стоимости Товара</w:t>
            </w:r>
            <w:r w:rsidRPr="00240238">
              <w:rPr>
                <w:rFonts w:cs="Calibri"/>
              </w:rPr>
              <w:t>.</w:t>
            </w:r>
          </w:p>
        </w:tc>
      </w:tr>
      <w:tr w:rsidR="00585553" w:rsidRPr="00240238" w:rsidTr="000324DC">
        <w:tc>
          <w:tcPr>
            <w:tcW w:w="1560" w:type="dxa"/>
          </w:tcPr>
          <w:p w:rsidR="00585553" w:rsidRPr="00240238" w:rsidRDefault="00585553" w:rsidP="00A80C4D">
            <w:pPr>
              <w:spacing w:after="200"/>
              <w:rPr>
                <w:rFonts w:cs="Calibri"/>
              </w:rPr>
            </w:pPr>
            <w:r w:rsidRPr="00240238">
              <w:rPr>
                <w:rFonts w:cs="Calibri"/>
                <w:b/>
              </w:rPr>
              <w:t>ОУК 28.3</w:t>
            </w:r>
          </w:p>
        </w:tc>
        <w:tc>
          <w:tcPr>
            <w:tcW w:w="7548" w:type="dxa"/>
            <w:shd w:val="clear" w:color="auto" w:fill="FFFFFF"/>
          </w:tcPr>
          <w:p w:rsidR="00585553" w:rsidRPr="00240238" w:rsidRDefault="00585553" w:rsidP="00A80C4D">
            <w:pPr>
              <w:suppressAutoHyphens/>
              <w:jc w:val="both"/>
              <w:rPr>
                <w:rFonts w:cs="Calibri"/>
                <w:i/>
              </w:rPr>
            </w:pPr>
            <w:r w:rsidRPr="00240238">
              <w:rPr>
                <w:rFonts w:cs="Calibri"/>
              </w:rPr>
              <w:t xml:space="preserve">Гарантийный срок составляет </w:t>
            </w:r>
            <w:r w:rsidRPr="00240238">
              <w:rPr>
                <w:rFonts w:cs="Calibri"/>
                <w:bCs/>
              </w:rPr>
              <w:t>100 000 (сто тысяч) километров пробега</w:t>
            </w:r>
            <w:r w:rsidRPr="00240238">
              <w:rPr>
                <w:rFonts w:cs="Calibri"/>
              </w:rPr>
              <w:t xml:space="preserve"> или 12 месяцев со дня приемки Товаров (подписания Получателями Акта приема-передачи товара) в зависимости от того, что наступит раньше, но в любом случае не менее гарантийного срока, установленного производителем Товара. </w:t>
            </w:r>
          </w:p>
        </w:tc>
      </w:tr>
      <w:tr w:rsidR="00585553" w:rsidRPr="00240238" w:rsidTr="000324DC">
        <w:tc>
          <w:tcPr>
            <w:tcW w:w="1560" w:type="dxa"/>
            <w:tcBorders>
              <w:bottom w:val="single" w:sz="12" w:space="0" w:color="auto"/>
            </w:tcBorders>
          </w:tcPr>
          <w:p w:rsidR="00585553" w:rsidRPr="00240238" w:rsidRDefault="00585553" w:rsidP="00A80C4D">
            <w:pPr>
              <w:spacing w:after="200"/>
              <w:rPr>
                <w:rFonts w:cs="Calibri"/>
                <w:b/>
              </w:rPr>
            </w:pPr>
            <w:r w:rsidRPr="00240238">
              <w:rPr>
                <w:rFonts w:cs="Calibri"/>
                <w:b/>
              </w:rPr>
              <w:t>ОУК 28.5</w:t>
            </w:r>
          </w:p>
        </w:tc>
        <w:tc>
          <w:tcPr>
            <w:tcW w:w="7548" w:type="dxa"/>
            <w:tcBorders>
              <w:bottom w:val="single" w:sz="12" w:space="0" w:color="auto"/>
            </w:tcBorders>
            <w:shd w:val="clear" w:color="auto" w:fill="FFFFFF"/>
          </w:tcPr>
          <w:p w:rsidR="00585553" w:rsidRPr="00240238" w:rsidRDefault="00585553" w:rsidP="0055198E">
            <w:pPr>
              <w:suppressAutoHyphens/>
              <w:spacing w:after="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 xml:space="preserve">В течение гарантийного срока Поставщик, в случае выявления дефектов или неисправности Товара обязан устранить выявленные дефекты за свой счет либо заменить за свой счет такой Товар на аналогичный Товар надлежащего качества. </w:t>
            </w:r>
          </w:p>
          <w:p w:rsidR="00585553" w:rsidRPr="00240238" w:rsidRDefault="00585553" w:rsidP="0055198E">
            <w:pPr>
              <w:suppressAutoHyphens/>
              <w:spacing w:after="0"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На Товар, переданный Поставщиком взамен Товара, в котором в течение гарантийного срока были обнаружены недостатки, устанавливается гарантийный срок той же продолжительности, что и на замененный</w:t>
            </w:r>
          </w:p>
          <w:p w:rsidR="00585553" w:rsidRPr="00240238" w:rsidRDefault="00585553" w:rsidP="0055198E">
            <w:pPr>
              <w:suppressAutoHyphens/>
              <w:jc w:val="both"/>
              <w:rPr>
                <w:rFonts w:cs="Calibri"/>
              </w:rPr>
            </w:pPr>
            <w:r w:rsidRPr="00240238">
              <w:rPr>
                <w:rFonts w:cs="Calibri"/>
              </w:rPr>
              <w:t>Ремонт или замена производятся в течение 30 (Тридцати) календарных дней</w:t>
            </w:r>
          </w:p>
        </w:tc>
      </w:tr>
    </w:tbl>
    <w:p w:rsidR="00585553" w:rsidRPr="009024E1" w:rsidRDefault="00585553" w:rsidP="0055198E">
      <w:pPr>
        <w:suppressAutoHyphens/>
      </w:pPr>
    </w:p>
    <w:sectPr w:rsidR="00585553" w:rsidRPr="009024E1" w:rsidSect="00B70934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2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53" w:rsidRDefault="00585553">
      <w:r>
        <w:separator/>
      </w:r>
    </w:p>
  </w:endnote>
  <w:endnote w:type="continuationSeparator" w:id="0">
    <w:p w:rsidR="00585553" w:rsidRDefault="00585553">
      <w:r>
        <w:continuationSeparator/>
      </w:r>
    </w:p>
  </w:endnote>
  <w:endnote w:type="continuationNotice" w:id="1">
    <w:p w:rsidR="00585553" w:rsidRDefault="005855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3" w:rsidRDefault="00585553" w:rsidP="003D6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553" w:rsidRDefault="00585553" w:rsidP="000A2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3" w:rsidRDefault="00585553">
    <w:pPr>
      <w:pStyle w:val="Footer"/>
      <w:jc w:val="right"/>
    </w:pPr>
    <w:fldSimple w:instr="PAGE   \* MERGEFORMAT">
      <w:r>
        <w:rPr>
          <w:noProof/>
        </w:rPr>
        <w:t>128</w:t>
      </w:r>
    </w:fldSimple>
  </w:p>
  <w:p w:rsidR="00585553" w:rsidRDefault="00585553" w:rsidP="000A2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53" w:rsidRDefault="00585553">
      <w:r>
        <w:separator/>
      </w:r>
    </w:p>
  </w:footnote>
  <w:footnote w:type="continuationSeparator" w:id="0">
    <w:p w:rsidR="00585553" w:rsidRDefault="00585553">
      <w:r>
        <w:continuationSeparator/>
      </w:r>
    </w:p>
  </w:footnote>
  <w:footnote w:type="continuationNotice" w:id="1">
    <w:p w:rsidR="00585553" w:rsidRDefault="005855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3" w:rsidRPr="00E51ECC" w:rsidRDefault="00585553" w:rsidP="00E51ECC">
    <w:pPr>
      <w:pStyle w:val="Header"/>
      <w:jc w:val="center"/>
    </w:pPr>
    <w:bookmarkStart w:id="1" w:name="_Toc359586752"/>
    <w:r w:rsidRPr="00E51ECC">
      <w:rPr>
        <w:rFonts w:ascii="Calibri" w:hAnsi="Calibri" w:cs="Calibri"/>
        <w:b/>
      </w:rPr>
      <w:t xml:space="preserve">Раздел </w:t>
    </w:r>
    <w:r w:rsidRPr="000B2D6F">
      <w:rPr>
        <w:rFonts w:ascii="Calibri" w:hAnsi="Calibri" w:cs="Calibri"/>
        <w:b/>
      </w:rPr>
      <w:t>IX</w:t>
    </w:r>
    <w:r w:rsidRPr="00E51ECC">
      <w:rPr>
        <w:rFonts w:ascii="Calibri" w:hAnsi="Calibri" w:cs="Calibri"/>
        <w:b/>
      </w:rPr>
      <w:t>. Специальные условия контракта</w:t>
    </w:r>
    <w:bookmarkEnd w:id="1"/>
  </w:p>
  <w:p w:rsidR="00585553" w:rsidRPr="00E51ECC" w:rsidRDefault="00585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9617812"/>
    <w:multiLevelType w:val="hybridMultilevel"/>
    <w:tmpl w:val="2F44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1FE"/>
    <w:multiLevelType w:val="hybridMultilevel"/>
    <w:tmpl w:val="10BC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168BE"/>
    <w:multiLevelType w:val="hybridMultilevel"/>
    <w:tmpl w:val="E2F68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C69FF"/>
    <w:multiLevelType w:val="hybridMultilevel"/>
    <w:tmpl w:val="32FA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5252"/>
    <w:multiLevelType w:val="hybridMultilevel"/>
    <w:tmpl w:val="CA92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5AC0"/>
    <w:multiLevelType w:val="hybridMultilevel"/>
    <w:tmpl w:val="47D88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DD0490"/>
    <w:multiLevelType w:val="multilevel"/>
    <w:tmpl w:val="A43068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cs="Times New Roman" w:hint="default"/>
        <w:color w:val="auto"/>
      </w:rPr>
    </w:lvl>
  </w:abstractNum>
  <w:abstractNum w:abstractNumId="9">
    <w:nsid w:val="420B567C"/>
    <w:multiLevelType w:val="hybridMultilevel"/>
    <w:tmpl w:val="5A8C4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C0003"/>
    <w:multiLevelType w:val="hybridMultilevel"/>
    <w:tmpl w:val="1F4E5B9C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4F4404"/>
    <w:multiLevelType w:val="hybridMultilevel"/>
    <w:tmpl w:val="0CCC4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341A81"/>
    <w:multiLevelType w:val="hybridMultilevel"/>
    <w:tmpl w:val="E2F68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E1AD8"/>
    <w:multiLevelType w:val="hybridMultilevel"/>
    <w:tmpl w:val="13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65"/>
    <w:multiLevelType w:val="hybridMultilevel"/>
    <w:tmpl w:val="6FDC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73"/>
    <w:rsid w:val="000224F1"/>
    <w:rsid w:val="000324DC"/>
    <w:rsid w:val="000353C4"/>
    <w:rsid w:val="00036FF8"/>
    <w:rsid w:val="000463B3"/>
    <w:rsid w:val="00050C2A"/>
    <w:rsid w:val="00065A8F"/>
    <w:rsid w:val="00066BE6"/>
    <w:rsid w:val="00071875"/>
    <w:rsid w:val="00072F29"/>
    <w:rsid w:val="0008018B"/>
    <w:rsid w:val="000A238C"/>
    <w:rsid w:val="000B2D6F"/>
    <w:rsid w:val="000C0B11"/>
    <w:rsid w:val="000C1339"/>
    <w:rsid w:val="000C4C29"/>
    <w:rsid w:val="000D159D"/>
    <w:rsid w:val="000D2C55"/>
    <w:rsid w:val="000D3560"/>
    <w:rsid w:val="000F6C6C"/>
    <w:rsid w:val="00101AF6"/>
    <w:rsid w:val="001026AE"/>
    <w:rsid w:val="001027E6"/>
    <w:rsid w:val="00111045"/>
    <w:rsid w:val="0011195B"/>
    <w:rsid w:val="00112123"/>
    <w:rsid w:val="0011216B"/>
    <w:rsid w:val="00120DBC"/>
    <w:rsid w:val="00141FCF"/>
    <w:rsid w:val="00153FEA"/>
    <w:rsid w:val="001544AB"/>
    <w:rsid w:val="00171DFD"/>
    <w:rsid w:val="00172522"/>
    <w:rsid w:val="00172DFB"/>
    <w:rsid w:val="00182971"/>
    <w:rsid w:val="00186326"/>
    <w:rsid w:val="00190422"/>
    <w:rsid w:val="00192CDB"/>
    <w:rsid w:val="001A3FEB"/>
    <w:rsid w:val="001A616A"/>
    <w:rsid w:val="001D5D0B"/>
    <w:rsid w:val="001E2FEE"/>
    <w:rsid w:val="001E60DD"/>
    <w:rsid w:val="001F0119"/>
    <w:rsid w:val="00200615"/>
    <w:rsid w:val="00201515"/>
    <w:rsid w:val="002039FB"/>
    <w:rsid w:val="0022076D"/>
    <w:rsid w:val="002216C0"/>
    <w:rsid w:val="002225CD"/>
    <w:rsid w:val="002234D0"/>
    <w:rsid w:val="00225D4D"/>
    <w:rsid w:val="0023043E"/>
    <w:rsid w:val="00240238"/>
    <w:rsid w:val="0024116F"/>
    <w:rsid w:val="002516EC"/>
    <w:rsid w:val="00253925"/>
    <w:rsid w:val="00260F46"/>
    <w:rsid w:val="002629B8"/>
    <w:rsid w:val="00266F2B"/>
    <w:rsid w:val="00276BDD"/>
    <w:rsid w:val="0028256D"/>
    <w:rsid w:val="002A362F"/>
    <w:rsid w:val="002A5D05"/>
    <w:rsid w:val="002B124A"/>
    <w:rsid w:val="002D0A3C"/>
    <w:rsid w:val="002E1A4A"/>
    <w:rsid w:val="002E3EE0"/>
    <w:rsid w:val="002E5EE5"/>
    <w:rsid w:val="002F3550"/>
    <w:rsid w:val="00305BEA"/>
    <w:rsid w:val="003074A2"/>
    <w:rsid w:val="00332784"/>
    <w:rsid w:val="00336B54"/>
    <w:rsid w:val="003416F9"/>
    <w:rsid w:val="00350F23"/>
    <w:rsid w:val="003522DA"/>
    <w:rsid w:val="00354C60"/>
    <w:rsid w:val="00355F39"/>
    <w:rsid w:val="003651F8"/>
    <w:rsid w:val="00365A6F"/>
    <w:rsid w:val="00374DA7"/>
    <w:rsid w:val="003756FE"/>
    <w:rsid w:val="00376783"/>
    <w:rsid w:val="003829D7"/>
    <w:rsid w:val="00384989"/>
    <w:rsid w:val="00391530"/>
    <w:rsid w:val="003A39F4"/>
    <w:rsid w:val="003B276F"/>
    <w:rsid w:val="003B2C28"/>
    <w:rsid w:val="003B30DD"/>
    <w:rsid w:val="003B570A"/>
    <w:rsid w:val="003C189E"/>
    <w:rsid w:val="003D0A0C"/>
    <w:rsid w:val="003D5CA4"/>
    <w:rsid w:val="003D673E"/>
    <w:rsid w:val="003E77DF"/>
    <w:rsid w:val="003F6FB9"/>
    <w:rsid w:val="00410A48"/>
    <w:rsid w:val="00424363"/>
    <w:rsid w:val="00425A79"/>
    <w:rsid w:val="00432C91"/>
    <w:rsid w:val="00435D45"/>
    <w:rsid w:val="004412B2"/>
    <w:rsid w:val="00451439"/>
    <w:rsid w:val="00461BA6"/>
    <w:rsid w:val="004623A1"/>
    <w:rsid w:val="00464528"/>
    <w:rsid w:val="00466337"/>
    <w:rsid w:val="00466EFD"/>
    <w:rsid w:val="004671D5"/>
    <w:rsid w:val="00490A42"/>
    <w:rsid w:val="004A1393"/>
    <w:rsid w:val="004B1C10"/>
    <w:rsid w:val="004B4D19"/>
    <w:rsid w:val="004C4DA0"/>
    <w:rsid w:val="004D7B6B"/>
    <w:rsid w:val="004E1AB6"/>
    <w:rsid w:val="004E5500"/>
    <w:rsid w:val="004E598A"/>
    <w:rsid w:val="004F4133"/>
    <w:rsid w:val="004F628B"/>
    <w:rsid w:val="005077E6"/>
    <w:rsid w:val="005141A6"/>
    <w:rsid w:val="00541A8C"/>
    <w:rsid w:val="0055198E"/>
    <w:rsid w:val="00560BC1"/>
    <w:rsid w:val="00570709"/>
    <w:rsid w:val="0057135E"/>
    <w:rsid w:val="00585553"/>
    <w:rsid w:val="005939C7"/>
    <w:rsid w:val="00594155"/>
    <w:rsid w:val="00596E74"/>
    <w:rsid w:val="005B3C23"/>
    <w:rsid w:val="005C1126"/>
    <w:rsid w:val="005C350C"/>
    <w:rsid w:val="005C58DE"/>
    <w:rsid w:val="005D2568"/>
    <w:rsid w:val="005D5EB8"/>
    <w:rsid w:val="00613CA0"/>
    <w:rsid w:val="006307C5"/>
    <w:rsid w:val="00635D89"/>
    <w:rsid w:val="00640FB8"/>
    <w:rsid w:val="00646653"/>
    <w:rsid w:val="006558C8"/>
    <w:rsid w:val="00657638"/>
    <w:rsid w:val="006577E2"/>
    <w:rsid w:val="0066070B"/>
    <w:rsid w:val="006623F1"/>
    <w:rsid w:val="006675B5"/>
    <w:rsid w:val="00667B97"/>
    <w:rsid w:val="00673F95"/>
    <w:rsid w:val="00683B02"/>
    <w:rsid w:val="00685E7D"/>
    <w:rsid w:val="00697030"/>
    <w:rsid w:val="006D2110"/>
    <w:rsid w:val="006E09E3"/>
    <w:rsid w:val="006E1011"/>
    <w:rsid w:val="006E150F"/>
    <w:rsid w:val="00703993"/>
    <w:rsid w:val="0070591E"/>
    <w:rsid w:val="007130E7"/>
    <w:rsid w:val="00715066"/>
    <w:rsid w:val="00723AD0"/>
    <w:rsid w:val="00725686"/>
    <w:rsid w:val="00740A94"/>
    <w:rsid w:val="00752530"/>
    <w:rsid w:val="007570B5"/>
    <w:rsid w:val="00757124"/>
    <w:rsid w:val="00757414"/>
    <w:rsid w:val="00757E14"/>
    <w:rsid w:val="00762456"/>
    <w:rsid w:val="00763AEE"/>
    <w:rsid w:val="00785489"/>
    <w:rsid w:val="007860D7"/>
    <w:rsid w:val="0079073A"/>
    <w:rsid w:val="00792940"/>
    <w:rsid w:val="007A20E6"/>
    <w:rsid w:val="007C009E"/>
    <w:rsid w:val="007C00C6"/>
    <w:rsid w:val="007C08EB"/>
    <w:rsid w:val="007D32B0"/>
    <w:rsid w:val="007E1A37"/>
    <w:rsid w:val="007E2279"/>
    <w:rsid w:val="008162A1"/>
    <w:rsid w:val="00817863"/>
    <w:rsid w:val="008228C1"/>
    <w:rsid w:val="00825288"/>
    <w:rsid w:val="0084004B"/>
    <w:rsid w:val="00852067"/>
    <w:rsid w:val="00853AE0"/>
    <w:rsid w:val="008634B9"/>
    <w:rsid w:val="008673EF"/>
    <w:rsid w:val="00874A60"/>
    <w:rsid w:val="00877489"/>
    <w:rsid w:val="00880C64"/>
    <w:rsid w:val="00882594"/>
    <w:rsid w:val="00891AEE"/>
    <w:rsid w:val="008A55A8"/>
    <w:rsid w:val="008D29EC"/>
    <w:rsid w:val="008D2E92"/>
    <w:rsid w:val="008E4924"/>
    <w:rsid w:val="008E7474"/>
    <w:rsid w:val="008F52B6"/>
    <w:rsid w:val="008F53E8"/>
    <w:rsid w:val="008F70D7"/>
    <w:rsid w:val="008F7E3A"/>
    <w:rsid w:val="009024E1"/>
    <w:rsid w:val="00904A7A"/>
    <w:rsid w:val="00914604"/>
    <w:rsid w:val="00934095"/>
    <w:rsid w:val="00935C61"/>
    <w:rsid w:val="00941C88"/>
    <w:rsid w:val="00946079"/>
    <w:rsid w:val="00946CF6"/>
    <w:rsid w:val="00952AC1"/>
    <w:rsid w:val="00957FA2"/>
    <w:rsid w:val="0097121B"/>
    <w:rsid w:val="00983416"/>
    <w:rsid w:val="00990537"/>
    <w:rsid w:val="009A09AC"/>
    <w:rsid w:val="009A1F35"/>
    <w:rsid w:val="009A383D"/>
    <w:rsid w:val="009A4F83"/>
    <w:rsid w:val="009B3352"/>
    <w:rsid w:val="009B3AA8"/>
    <w:rsid w:val="009C14DB"/>
    <w:rsid w:val="009D15E3"/>
    <w:rsid w:val="009D5CA5"/>
    <w:rsid w:val="009E0BC5"/>
    <w:rsid w:val="009E4251"/>
    <w:rsid w:val="009F1C14"/>
    <w:rsid w:val="009F73C6"/>
    <w:rsid w:val="00A024D1"/>
    <w:rsid w:val="00A10201"/>
    <w:rsid w:val="00A164E7"/>
    <w:rsid w:val="00A22344"/>
    <w:rsid w:val="00A27F3C"/>
    <w:rsid w:val="00A36C6B"/>
    <w:rsid w:val="00A4743D"/>
    <w:rsid w:val="00A52D2A"/>
    <w:rsid w:val="00A538C0"/>
    <w:rsid w:val="00A53B6A"/>
    <w:rsid w:val="00A6334A"/>
    <w:rsid w:val="00A666FB"/>
    <w:rsid w:val="00A70F6B"/>
    <w:rsid w:val="00A80C4D"/>
    <w:rsid w:val="00A81291"/>
    <w:rsid w:val="00A93BAE"/>
    <w:rsid w:val="00AC0DF1"/>
    <w:rsid w:val="00AC0E5C"/>
    <w:rsid w:val="00AC21E9"/>
    <w:rsid w:val="00AD4DCC"/>
    <w:rsid w:val="00AD5494"/>
    <w:rsid w:val="00AE570A"/>
    <w:rsid w:val="00AE75B5"/>
    <w:rsid w:val="00AF0320"/>
    <w:rsid w:val="00B02649"/>
    <w:rsid w:val="00B0338C"/>
    <w:rsid w:val="00B133B6"/>
    <w:rsid w:val="00B17C74"/>
    <w:rsid w:val="00B20379"/>
    <w:rsid w:val="00B25579"/>
    <w:rsid w:val="00B366C6"/>
    <w:rsid w:val="00B51266"/>
    <w:rsid w:val="00B539BE"/>
    <w:rsid w:val="00B53CB2"/>
    <w:rsid w:val="00B5777A"/>
    <w:rsid w:val="00B67FF5"/>
    <w:rsid w:val="00B70934"/>
    <w:rsid w:val="00B758ED"/>
    <w:rsid w:val="00B86872"/>
    <w:rsid w:val="00B90E97"/>
    <w:rsid w:val="00BA5645"/>
    <w:rsid w:val="00BA69B4"/>
    <w:rsid w:val="00BB272D"/>
    <w:rsid w:val="00BC3D09"/>
    <w:rsid w:val="00C0036B"/>
    <w:rsid w:val="00C010F3"/>
    <w:rsid w:val="00C12D23"/>
    <w:rsid w:val="00C150C2"/>
    <w:rsid w:val="00C16192"/>
    <w:rsid w:val="00C24E15"/>
    <w:rsid w:val="00C35CD8"/>
    <w:rsid w:val="00C36888"/>
    <w:rsid w:val="00C46DB4"/>
    <w:rsid w:val="00C54171"/>
    <w:rsid w:val="00C75758"/>
    <w:rsid w:val="00C75FAA"/>
    <w:rsid w:val="00C83841"/>
    <w:rsid w:val="00C84A27"/>
    <w:rsid w:val="00CA0A6D"/>
    <w:rsid w:val="00CA5E9F"/>
    <w:rsid w:val="00CB7CC7"/>
    <w:rsid w:val="00CC139E"/>
    <w:rsid w:val="00CD0452"/>
    <w:rsid w:val="00CD2688"/>
    <w:rsid w:val="00CE159D"/>
    <w:rsid w:val="00CE70DF"/>
    <w:rsid w:val="00CF21C6"/>
    <w:rsid w:val="00CF3C38"/>
    <w:rsid w:val="00CF4899"/>
    <w:rsid w:val="00D34528"/>
    <w:rsid w:val="00D449F5"/>
    <w:rsid w:val="00D62FF9"/>
    <w:rsid w:val="00D64BDD"/>
    <w:rsid w:val="00D7128E"/>
    <w:rsid w:val="00D732C6"/>
    <w:rsid w:val="00D752BB"/>
    <w:rsid w:val="00D81394"/>
    <w:rsid w:val="00D817F0"/>
    <w:rsid w:val="00D822C5"/>
    <w:rsid w:val="00D85274"/>
    <w:rsid w:val="00D8613C"/>
    <w:rsid w:val="00D86754"/>
    <w:rsid w:val="00D940DB"/>
    <w:rsid w:val="00D96E4A"/>
    <w:rsid w:val="00DA0A33"/>
    <w:rsid w:val="00DA2306"/>
    <w:rsid w:val="00DA421F"/>
    <w:rsid w:val="00DA71A7"/>
    <w:rsid w:val="00DB69F2"/>
    <w:rsid w:val="00DC2946"/>
    <w:rsid w:val="00DC76E1"/>
    <w:rsid w:val="00DD347B"/>
    <w:rsid w:val="00DD5B96"/>
    <w:rsid w:val="00DD785A"/>
    <w:rsid w:val="00DE7F1A"/>
    <w:rsid w:val="00E10F94"/>
    <w:rsid w:val="00E14861"/>
    <w:rsid w:val="00E17A3F"/>
    <w:rsid w:val="00E20808"/>
    <w:rsid w:val="00E27792"/>
    <w:rsid w:val="00E30AA6"/>
    <w:rsid w:val="00E41673"/>
    <w:rsid w:val="00E47D79"/>
    <w:rsid w:val="00E51ECC"/>
    <w:rsid w:val="00E71E57"/>
    <w:rsid w:val="00E7341F"/>
    <w:rsid w:val="00E76E59"/>
    <w:rsid w:val="00E80713"/>
    <w:rsid w:val="00E81FE9"/>
    <w:rsid w:val="00E874E7"/>
    <w:rsid w:val="00E970CA"/>
    <w:rsid w:val="00EA00CF"/>
    <w:rsid w:val="00EA6697"/>
    <w:rsid w:val="00EB0B9B"/>
    <w:rsid w:val="00EB6F32"/>
    <w:rsid w:val="00EC159B"/>
    <w:rsid w:val="00EC4ED2"/>
    <w:rsid w:val="00EC75DF"/>
    <w:rsid w:val="00EE1926"/>
    <w:rsid w:val="00EE60F6"/>
    <w:rsid w:val="00EF0B14"/>
    <w:rsid w:val="00EF5263"/>
    <w:rsid w:val="00EF6F68"/>
    <w:rsid w:val="00F10ECE"/>
    <w:rsid w:val="00F11207"/>
    <w:rsid w:val="00F1473C"/>
    <w:rsid w:val="00F202B4"/>
    <w:rsid w:val="00F20BD4"/>
    <w:rsid w:val="00F33BC9"/>
    <w:rsid w:val="00F402F6"/>
    <w:rsid w:val="00F44226"/>
    <w:rsid w:val="00F4521B"/>
    <w:rsid w:val="00F53430"/>
    <w:rsid w:val="00F57D8B"/>
    <w:rsid w:val="00F62764"/>
    <w:rsid w:val="00F65AFD"/>
    <w:rsid w:val="00F927E1"/>
    <w:rsid w:val="00FA24EA"/>
    <w:rsid w:val="00FC43DC"/>
    <w:rsid w:val="00FC54CF"/>
    <w:rsid w:val="00FD0CCC"/>
    <w:rsid w:val="00FD416F"/>
    <w:rsid w:val="00FD7724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D78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85A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D785A"/>
    <w:pPr>
      <w:keepNext/>
      <w:keepLines/>
      <w:spacing w:before="40" w:after="0"/>
      <w:outlineLvl w:val="1"/>
    </w:pPr>
    <w:rPr>
      <w:rFonts w:ascii="Cambria" w:hAnsi="Cambria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785A"/>
    <w:pPr>
      <w:keepNext/>
      <w:keepLines/>
      <w:spacing w:before="40" w:after="0"/>
      <w:outlineLvl w:val="2"/>
    </w:pPr>
    <w:rPr>
      <w:rFonts w:ascii="Cambria" w:hAnsi="Cambria"/>
      <w:color w:val="2440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D785A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D785A"/>
    <w:pPr>
      <w:keepNext/>
      <w:keepLines/>
      <w:spacing w:before="40" w:after="0"/>
      <w:outlineLvl w:val="4"/>
    </w:pPr>
    <w:rPr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D785A"/>
    <w:pPr>
      <w:keepNext/>
      <w:keepLines/>
      <w:spacing w:before="40" w:after="0"/>
      <w:outlineLvl w:val="5"/>
    </w:pPr>
    <w:rPr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D785A"/>
    <w:pPr>
      <w:keepNext/>
      <w:keepLines/>
      <w:spacing w:before="40" w:after="0"/>
      <w:outlineLvl w:val="6"/>
    </w:pPr>
    <w:rPr>
      <w:rFonts w:ascii="Cambria" w:hAnsi="Cambria"/>
      <w:i/>
      <w:iCs/>
      <w:color w:val="24406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D785A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D785A"/>
    <w:pPr>
      <w:keepNext/>
      <w:keepLines/>
      <w:spacing w:before="40" w:after="0"/>
      <w:outlineLvl w:val="8"/>
    </w:pPr>
    <w:rPr>
      <w:rFonts w:ascii="Cambria" w:hAnsi="Cambria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85A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785A"/>
    <w:rPr>
      <w:rFonts w:ascii="Cambria" w:hAnsi="Cambria" w:cs="Times New Roman"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785A"/>
    <w:rPr>
      <w:rFonts w:ascii="Cambria" w:hAnsi="Cambria" w:cs="Times New Roman"/>
      <w:color w:val="24406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785A"/>
    <w:rPr>
      <w:rFonts w:cs="Times New Roman"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785A"/>
    <w:rPr>
      <w:rFonts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785A"/>
    <w:rPr>
      <w:rFonts w:cs="Times New Roman"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785A"/>
    <w:rPr>
      <w:rFonts w:ascii="Cambria" w:hAnsi="Cambria" w:cs="Times New Roman"/>
      <w:i/>
      <w:iCs/>
      <w:color w:val="24406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785A"/>
    <w:rPr>
      <w:rFonts w:cs="Times New Roman"/>
      <w:color w:val="26262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785A"/>
    <w:rPr>
      <w:rFonts w:ascii="Cambria" w:hAnsi="Cambria" w:cs="Times New Roman"/>
      <w:i/>
      <w:iCs/>
      <w:color w:val="262626"/>
      <w:sz w:val="21"/>
      <w:szCs w:val="21"/>
    </w:rPr>
  </w:style>
  <w:style w:type="paragraph" w:customStyle="1" w:styleId="H1Section">
    <w:name w:val="H1_Section"/>
    <w:basedOn w:val="Subtitle"/>
    <w:uiPriority w:val="99"/>
    <w:rsid w:val="00E41673"/>
    <w:pPr>
      <w:keepNext/>
      <w:keepLines/>
      <w:numPr>
        <w:ilvl w:val="0"/>
      </w:numPr>
      <w:suppressAutoHyphens/>
      <w:spacing w:before="240" w:after="360"/>
      <w:jc w:val="center"/>
    </w:pPr>
    <w:rPr>
      <w:rFonts w:ascii="Cambria" w:hAnsi="Cambria"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DD785A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785A"/>
    <w:rPr>
      <w:rFonts w:cs="Times New Roman"/>
      <w:color w:val="5A5A5A"/>
      <w:spacing w:val="15"/>
    </w:rPr>
  </w:style>
  <w:style w:type="paragraph" w:styleId="ListParagraph">
    <w:name w:val="List Paragraph"/>
    <w:basedOn w:val="Normal"/>
    <w:uiPriority w:val="99"/>
    <w:qFormat/>
    <w:rsid w:val="00667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0CCC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CCC"/>
    <w:rPr>
      <w:rFonts w:ascii="Segoe UI" w:hAnsi="Segoe UI" w:cs="Times New Roman"/>
      <w:snapToGrid w:val="0"/>
      <w:sz w:val="18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rsid w:val="00CF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F3C38"/>
    <w:rPr>
      <w:rFonts w:ascii="Courier New" w:hAnsi="Courier New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0A238C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17F0"/>
    <w:rPr>
      <w:rFonts w:ascii="Times New Roman" w:hAnsi="Times New Roman" w:cs="Times New Roman"/>
      <w:sz w:val="20"/>
      <w:lang w:val="en-US"/>
    </w:rPr>
  </w:style>
  <w:style w:type="character" w:styleId="PageNumber">
    <w:name w:val="page number"/>
    <w:basedOn w:val="DefaultParagraphFont"/>
    <w:uiPriority w:val="99"/>
    <w:rsid w:val="000A23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65A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A8F"/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5A8F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5A8F"/>
    <w:rPr>
      <w:b/>
    </w:rPr>
  </w:style>
  <w:style w:type="paragraph" w:styleId="Header">
    <w:name w:val="header"/>
    <w:basedOn w:val="Normal"/>
    <w:link w:val="HeaderChar"/>
    <w:uiPriority w:val="99"/>
    <w:rsid w:val="000353C4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53C4"/>
    <w:rPr>
      <w:rFonts w:ascii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DD785A"/>
    <w:rPr>
      <w:rFonts w:cs="Times New Roman"/>
      <w:b/>
      <w:bCs/>
      <w:color w:val="auto"/>
    </w:rPr>
  </w:style>
  <w:style w:type="paragraph" w:styleId="Revision">
    <w:name w:val="Revision"/>
    <w:hidden/>
    <w:uiPriority w:val="99"/>
    <w:semiHidden/>
    <w:rsid w:val="00B86872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99"/>
    <w:qFormat/>
    <w:rsid w:val="00DD785A"/>
  </w:style>
  <w:style w:type="paragraph" w:styleId="Caption">
    <w:name w:val="caption"/>
    <w:basedOn w:val="Normal"/>
    <w:next w:val="Normal"/>
    <w:uiPriority w:val="99"/>
    <w:qFormat/>
    <w:locked/>
    <w:rsid w:val="00DD785A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D785A"/>
    <w:pPr>
      <w:spacing w:after="0" w:line="240" w:lineRule="auto"/>
      <w:contextualSpacing/>
    </w:pPr>
    <w:rPr>
      <w:rFonts w:ascii="Cambria" w:hAnsi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D785A"/>
    <w:rPr>
      <w:rFonts w:ascii="Cambria" w:hAnsi="Cambria" w:cs="Times New Roman"/>
      <w:spacing w:val="-10"/>
      <w:sz w:val="56"/>
      <w:szCs w:val="56"/>
    </w:rPr>
  </w:style>
  <w:style w:type="character" w:styleId="Emphasis">
    <w:name w:val="Emphasis"/>
    <w:basedOn w:val="DefaultParagraphFont"/>
    <w:uiPriority w:val="99"/>
    <w:qFormat/>
    <w:locked/>
    <w:rsid w:val="00DD785A"/>
    <w:rPr>
      <w:rFonts w:cs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99"/>
    <w:qFormat/>
    <w:rsid w:val="00DD785A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DD785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785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D785A"/>
    <w:rPr>
      <w:rFonts w:cs="Times New Roman"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D785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DD785A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D785A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DD785A"/>
    <w:rPr>
      <w:rFonts w:cs="Times New Roman"/>
      <w:b/>
      <w:bCs/>
      <w:smallCaps/>
      <w:color w:val="4F81BD"/>
      <w:spacing w:val="5"/>
    </w:rPr>
  </w:style>
  <w:style w:type="character" w:styleId="BookTitle">
    <w:name w:val="Book Title"/>
    <w:basedOn w:val="DefaultParagraphFont"/>
    <w:uiPriority w:val="99"/>
    <w:qFormat/>
    <w:rsid w:val="00DD785A"/>
    <w:rPr>
      <w:rFonts w:cs="Times New Roman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D785A"/>
    <w:pPr>
      <w:outlineLvl w:val="9"/>
    </w:pPr>
  </w:style>
  <w:style w:type="paragraph" w:customStyle="1" w:styleId="msonormalmrcssattr">
    <w:name w:val="msonormal_mr_css_attr"/>
    <w:basedOn w:val="Normal"/>
    <w:uiPriority w:val="99"/>
    <w:rsid w:val="00192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92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7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7</Pages>
  <Words>1944</Words>
  <Characters>11083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user</cp:lastModifiedBy>
  <cp:revision>121</cp:revision>
  <cp:lastPrinted>2019-10-30T18:34:00Z</cp:lastPrinted>
  <dcterms:created xsi:type="dcterms:W3CDTF">2020-04-29T08:48:00Z</dcterms:created>
  <dcterms:modified xsi:type="dcterms:W3CDTF">2020-10-22T08:43:00Z</dcterms:modified>
</cp:coreProperties>
</file>